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62C4" w14:textId="0259856C" w:rsidR="006C3C83" w:rsidRDefault="006C3C83">
      <w:pPr>
        <w:spacing w:before="157" w:after="157" w:line="268" w:lineRule="auto"/>
        <w:rPr>
          <w:rFonts w:ascii="source serif 4" w:hAnsi="source serif 4"/>
          <w:b/>
          <w:bCs/>
          <w:color w:val="000000"/>
          <w:sz w:val="39"/>
          <w:szCs w:val="39"/>
        </w:rPr>
      </w:pPr>
      <w:bookmarkStart w:id="0" w:name="bm_1_where_hotma_stands_in_2026"/>
      <w:bookmarkStart w:id="1" w:name="hotma_2026_status_and_current_thr_b25e78"/>
      <w:r>
        <w:rPr>
          <w:noProof/>
          <w:kern w:val="2"/>
          <w:szCs w:val="21"/>
        </w:rPr>
        <w:drawing>
          <wp:anchor distT="0" distB="0" distL="114300" distR="114300" simplePos="0" relativeHeight="251658240" behindDoc="1" locked="0" layoutInCell="1" allowOverlap="1" wp14:anchorId="521C0518" wp14:editId="5E037185">
            <wp:simplePos x="0" y="0"/>
            <wp:positionH relativeFrom="column">
              <wp:posOffset>2009140</wp:posOffset>
            </wp:positionH>
            <wp:positionV relativeFrom="paragraph">
              <wp:posOffset>-600075</wp:posOffset>
            </wp:positionV>
            <wp:extent cx="2085975" cy="994293"/>
            <wp:effectExtent l="0" t="0" r="0" b="0"/>
            <wp:wrapNone/>
            <wp:docPr id="1686037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37829" name="Picture 16860378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975" cy="994293"/>
                    </a:xfrm>
                    <a:prstGeom prst="rect">
                      <a:avLst/>
                    </a:prstGeom>
                  </pic:spPr>
                </pic:pic>
              </a:graphicData>
            </a:graphic>
            <wp14:sizeRelH relativeFrom="margin">
              <wp14:pctWidth>0</wp14:pctWidth>
            </wp14:sizeRelH>
            <wp14:sizeRelV relativeFrom="margin">
              <wp14:pctHeight>0</wp14:pctHeight>
            </wp14:sizeRelV>
          </wp:anchor>
        </w:drawing>
      </w:r>
    </w:p>
    <w:p w14:paraId="544550C0" w14:textId="7CE54373" w:rsidR="00B52ABD" w:rsidRDefault="00B52ABD">
      <w:pPr>
        <w:spacing w:before="157" w:after="157" w:line="268" w:lineRule="auto"/>
        <w:rPr>
          <w:kern w:val="2"/>
          <w:szCs w:val="21"/>
          <w14:ligatures w14:val="standardContextual"/>
        </w:rPr>
      </w:pPr>
      <w:r>
        <w:rPr>
          <w:rFonts w:ascii="source serif 4" w:hAnsi="source serif 4"/>
          <w:b/>
          <w:bCs/>
          <w:color w:val="000000"/>
          <w:sz w:val="39"/>
          <w:szCs w:val="39"/>
        </w:rPr>
        <w:t>HOTMA 2026 Quick Reference Guide</w:t>
      </w:r>
      <w:bookmarkEnd w:id="1"/>
    </w:p>
    <w:p w14:paraId="07ABFB6B" w14:textId="77777777" w:rsidR="005868A9" w:rsidRDefault="005868A9">
      <w:pPr>
        <w:spacing w:after="210" w:line="360" w:lineRule="auto"/>
        <w:rPr>
          <w:kern w:val="2"/>
          <w:szCs w:val="21"/>
          <w14:ligatures w14:val="standardContextual"/>
        </w:rPr>
      </w:pPr>
      <w:r>
        <w:rPr>
          <w:rFonts w:ascii="source serif 4" w:hAnsi="source serif 4"/>
          <w:color w:val="000000"/>
        </w:rPr>
        <w:t>Virginia Viles Services, LLC | virginiavilesservices.com</w:t>
      </w:r>
    </w:p>
    <w:p w14:paraId="69325938" w14:textId="77777777" w:rsidR="005868A9" w:rsidRDefault="005868A9">
      <w:pPr>
        <w:spacing w:after="210" w:line="360" w:lineRule="auto"/>
        <w:rPr>
          <w:kern w:val="2"/>
          <w:szCs w:val="21"/>
          <w14:ligatures w14:val="standardContextual"/>
        </w:rPr>
      </w:pPr>
      <w:r>
        <w:rPr>
          <w:rFonts w:ascii="source serif 4" w:hAnsi="source serif 4"/>
          <w:color w:val="000000"/>
        </w:rPr>
        <w:t>This guide summarizes the 2026 HOTMA status, key amounts, interim review rules, and main compliance dates for Public Housing and Multifamily/PBRA staff.</w:t>
      </w:r>
    </w:p>
    <w:p w14:paraId="35A7C6CB" w14:textId="177210F7" w:rsidR="005868A9" w:rsidRPr="005868A9" w:rsidRDefault="005868A9">
      <w:pPr>
        <w:spacing w:after="210" w:line="360" w:lineRule="auto"/>
        <w:rPr>
          <w:kern w:val="2"/>
          <w:szCs w:val="21"/>
          <w14:ligatures w14:val="standardContextual"/>
        </w:rPr>
      </w:pPr>
      <w:r w:rsidRPr="005868A9">
        <w:rPr>
          <w:b/>
          <w:bCs/>
          <w:kern w:val="2"/>
          <w:szCs w:val="21"/>
          <w14:ligatures w14:val="standardContextual"/>
        </w:rPr>
        <w:t>Disclaimer:</w:t>
      </w:r>
      <w:r w:rsidRPr="005868A9">
        <w:rPr>
          <w:kern w:val="2"/>
          <w:szCs w:val="21"/>
          <w14:ligatures w14:val="standardContextual"/>
        </w:rPr>
        <w:t> </w:t>
      </w:r>
      <w:r w:rsidRPr="005868A9">
        <w:rPr>
          <w:kern w:val="2"/>
          <w:szCs w:val="21"/>
          <w14:ligatures w14:val="standardContextual"/>
        </w:rPr>
        <w:t xml:space="preserve">This quick reference is provided for general informational and training purposes only. It is not legal advice and does not replace current HUD regulations, notices, or your </w:t>
      </w:r>
      <w:proofErr w:type="gramStart"/>
      <w:r w:rsidRPr="005868A9">
        <w:rPr>
          <w:kern w:val="2"/>
          <w:szCs w:val="21"/>
          <w14:ligatures w14:val="standardContextual"/>
        </w:rPr>
        <w:t>agency</w:t>
      </w:r>
      <w:r w:rsidRPr="005868A9">
        <w:rPr>
          <w:kern w:val="2"/>
          <w:szCs w:val="21"/>
          <w14:ligatures w14:val="standardContextual"/>
        </w:rPr>
        <w:t>’</w:t>
      </w:r>
      <w:r w:rsidRPr="005868A9">
        <w:rPr>
          <w:kern w:val="2"/>
          <w:szCs w:val="21"/>
          <w14:ligatures w14:val="standardContextual"/>
        </w:rPr>
        <w:t>s</w:t>
      </w:r>
      <w:proofErr w:type="gramEnd"/>
      <w:r w:rsidRPr="005868A9">
        <w:rPr>
          <w:kern w:val="2"/>
          <w:szCs w:val="21"/>
          <w14:ligatures w14:val="standardContextual"/>
        </w:rPr>
        <w:t xml:space="preserve"> or property</w:t>
      </w:r>
      <w:r w:rsidRPr="005868A9">
        <w:rPr>
          <w:kern w:val="2"/>
          <w:szCs w:val="21"/>
          <w14:ligatures w14:val="standardContextual"/>
        </w:rPr>
        <w:t>’</w:t>
      </w:r>
      <w:r w:rsidRPr="005868A9">
        <w:rPr>
          <w:kern w:val="2"/>
          <w:szCs w:val="21"/>
          <w14:ligatures w14:val="standardContextual"/>
        </w:rPr>
        <w:t>s written policies and procedures. Always verify final determinations using the most current HUD guidance and approved local policy. This document reflects HOTMA guidance and 2026 inflation-adjusted amounts available as of June 2026.</w:t>
      </w:r>
    </w:p>
    <w:p w14:paraId="7FEE9D52" w14:textId="77777777" w:rsidR="004F5690" w:rsidRDefault="00000000">
      <w:pPr>
        <w:spacing w:before="315" w:after="105" w:line="360" w:lineRule="auto"/>
        <w:ind w:left="-30"/>
      </w:pPr>
      <w:r>
        <w:rPr>
          <w:rFonts w:ascii="source serif 4" w:eastAsia="source serif 4" w:hAnsi="source serif 4" w:cs="source serif 4"/>
          <w:b/>
          <w:color w:val="000000"/>
          <w:sz w:val="24"/>
        </w:rPr>
        <w:t>1. Where HOTMA stands in 2026</w:t>
      </w:r>
      <w:bookmarkEnd w:id="0"/>
    </w:p>
    <w:p w14:paraId="0016407D" w14:textId="77777777" w:rsidR="004F5690" w:rsidRDefault="00000000">
      <w:pPr>
        <w:spacing w:before="315" w:after="105" w:line="360" w:lineRule="auto"/>
        <w:ind w:left="-30"/>
      </w:pPr>
      <w:bookmarkStart w:id="2" w:name="public_housing_pih_programs"/>
      <w:r>
        <w:rPr>
          <w:rFonts w:ascii="source serif 4" w:eastAsia="source serif 4" w:hAnsi="source serif 4" w:cs="source serif 4"/>
          <w:b/>
          <w:color w:val="000000"/>
          <w:sz w:val="24"/>
        </w:rPr>
        <w:t>Public Housing / PIH programs</w:t>
      </w:r>
      <w:bookmarkEnd w:id="2"/>
    </w:p>
    <w:p w14:paraId="4DC977C0" w14:textId="77777777" w:rsidR="008340D5" w:rsidRDefault="008340D5">
      <w:pPr>
        <w:spacing w:after="210" w:line="360" w:lineRule="auto"/>
        <w:rPr>
          <w:kern w:val="2"/>
          <w:szCs w:val="21"/>
          <w14:ligatures w14:val="standardContextual"/>
        </w:rPr>
      </w:pPr>
      <w:bookmarkStart w:id="3" w:name="multifamily_pbra"/>
      <w:r>
        <w:rPr>
          <w:rFonts w:ascii="source serif 4" w:hAnsi="source serif 4"/>
          <w:color w:val="000000"/>
        </w:rPr>
        <w:t xml:space="preserve">For Public Housing and PIH-administered programs, key HOTMA Sections 102 and 104 provisions became mandatory by July 1, 2025. PHAs should already be using the updated income, exclusion, and interim review framework. </w:t>
      </w:r>
      <w:r>
        <w:rPr>
          <w:rFonts w:ascii="source serif 4" w:hAnsi="source serif 4"/>
          <w:b/>
          <w:bCs/>
          <w:color w:val="000000"/>
        </w:rPr>
        <w:t>Important:</w:t>
      </w:r>
      <w:r>
        <w:rPr>
          <w:rFonts w:ascii="source serif 4" w:hAnsi="source serif 4"/>
          <w:color w:val="000000"/>
        </w:rPr>
        <w:t xml:space="preserve"> the January 1, </w:t>
      </w:r>
      <w:proofErr w:type="gramStart"/>
      <w:r>
        <w:rPr>
          <w:rFonts w:ascii="source serif 4" w:hAnsi="source serif 4"/>
          <w:color w:val="000000"/>
        </w:rPr>
        <w:t>2027</w:t>
      </w:r>
      <w:proofErr w:type="gramEnd"/>
      <w:r>
        <w:rPr>
          <w:rFonts w:ascii="source serif 4" w:hAnsi="source serif 4"/>
          <w:color w:val="000000"/>
        </w:rPr>
        <w:t xml:space="preserve"> enforcement date for remaining covered provisions applies to PHAs other than MTW PHAs and PHAs that exclusively use FRS.</w:t>
      </w:r>
    </w:p>
    <w:p w14:paraId="10768C14" w14:textId="77777777" w:rsidR="008340D5" w:rsidRDefault="008340D5" w:rsidP="008340D5">
      <w:pPr>
        <w:pStyle w:val="ListParagraph"/>
        <w:numPr>
          <w:ilvl w:val="0"/>
          <w:numId w:val="25"/>
        </w:numPr>
        <w:ind w:left="1440"/>
        <w:rPr>
          <w:kern w:val="2"/>
          <w:szCs w:val="21"/>
          <w14:ligatures w14:val="standardContextual"/>
        </w:rPr>
      </w:pPr>
      <w:r>
        <w:rPr>
          <w:rFonts w:ascii="source serif 4" w:hAnsi="source serif 4"/>
          <w:b/>
          <w:bCs/>
          <w:color w:val="000000"/>
        </w:rPr>
        <w:t>PHA action check:</w:t>
      </w:r>
      <w:r>
        <w:rPr>
          <w:rFonts w:ascii="source serif 4" w:hAnsi="source serif 4"/>
          <w:color w:val="000000"/>
        </w:rPr>
        <w:t xml:space="preserve"> verify ACOP/Admin Plan language, forms, workflows, and staff training use current HOTMA rules and 2026 amounts.</w:t>
      </w:r>
    </w:p>
    <w:p w14:paraId="2EE8A73F" w14:textId="77777777" w:rsidR="008340D5" w:rsidRDefault="008340D5" w:rsidP="008340D5">
      <w:pPr>
        <w:pStyle w:val="ListParagraph"/>
        <w:numPr>
          <w:ilvl w:val="0"/>
          <w:numId w:val="25"/>
        </w:numPr>
        <w:ind w:left="1440"/>
      </w:pPr>
      <w:r>
        <w:rPr>
          <w:rFonts w:ascii="source serif 4" w:hAnsi="source serif 4"/>
          <w:color w:val="000000"/>
        </w:rPr>
        <w:t>Confirm interim reexamination processing reflects current HOTMA triggers and 2026 household composition guidance.</w:t>
      </w:r>
    </w:p>
    <w:p w14:paraId="2E64D668" w14:textId="77777777" w:rsidR="008340D5" w:rsidRDefault="008340D5" w:rsidP="008340D5">
      <w:pPr>
        <w:pStyle w:val="ListParagraph"/>
        <w:numPr>
          <w:ilvl w:val="0"/>
          <w:numId w:val="25"/>
        </w:numPr>
        <w:ind w:left="1440"/>
      </w:pPr>
      <w:r>
        <w:rPr>
          <w:rFonts w:ascii="source serif 4" w:hAnsi="source serif 4"/>
          <w:color w:val="000000"/>
        </w:rPr>
        <w:t>Identify any remaining Section 102 and 104 items your PHA must complete before January 1, 2027, if the MTW or FRS-only exception does not apply.</w:t>
      </w:r>
    </w:p>
    <w:p w14:paraId="3E87A96D" w14:textId="77777777" w:rsidR="004F5690" w:rsidRDefault="00000000">
      <w:pPr>
        <w:spacing w:before="315" w:after="105" w:line="360" w:lineRule="auto"/>
        <w:ind w:left="-30"/>
      </w:pPr>
      <w:r>
        <w:rPr>
          <w:rFonts w:ascii="source serif 4" w:eastAsia="source serif 4" w:hAnsi="source serif 4" w:cs="source serif 4"/>
          <w:b/>
          <w:color w:val="000000"/>
          <w:sz w:val="24"/>
        </w:rPr>
        <w:t>Multifamily / PBRA</w:t>
      </w:r>
      <w:bookmarkEnd w:id="3"/>
    </w:p>
    <w:p w14:paraId="2B6503FF" w14:textId="77777777" w:rsidR="009E43E3" w:rsidRDefault="009E43E3">
      <w:pPr>
        <w:spacing w:after="210" w:line="360" w:lineRule="auto"/>
        <w:rPr>
          <w:kern w:val="2"/>
          <w:szCs w:val="21"/>
          <w14:ligatures w14:val="standardContextual"/>
        </w:rPr>
      </w:pPr>
      <w:bookmarkStart w:id="4" w:name="bm_2_current_2026_hotma_threshold_132b44"/>
      <w:r>
        <w:rPr>
          <w:rFonts w:ascii="source serif 4" w:hAnsi="source serif 4"/>
          <w:color w:val="000000"/>
        </w:rPr>
        <w:t xml:space="preserve">For Multifamily/PBRA, the HOTMA rule framework is in place, but full mandatory compliance for income certifications begins January 1, </w:t>
      </w:r>
      <w:proofErr w:type="gramStart"/>
      <w:r>
        <w:rPr>
          <w:rFonts w:ascii="source serif 4" w:hAnsi="source serif 4"/>
          <w:color w:val="000000"/>
        </w:rPr>
        <w:t>2027</w:t>
      </w:r>
      <w:proofErr w:type="gramEnd"/>
      <w:r>
        <w:rPr>
          <w:rFonts w:ascii="source serif 4" w:hAnsi="source serif 4"/>
          <w:color w:val="000000"/>
        </w:rPr>
        <w:t xml:space="preserve"> under Notice H 2025-07. Owners should use 2026 to finalize policies, Tenant Selection Plan and EIV updates, staff training, and implementation readiness.</w:t>
      </w:r>
    </w:p>
    <w:p w14:paraId="38EF34C5" w14:textId="77777777" w:rsidR="005868A9" w:rsidRDefault="005868A9">
      <w:pPr>
        <w:rPr>
          <w:rFonts w:ascii="source serif 4" w:hAnsi="source serif 4"/>
          <w:b/>
          <w:bCs/>
          <w:color w:val="000000"/>
          <w:sz w:val="24"/>
          <w:szCs w:val="24"/>
        </w:rPr>
      </w:pPr>
      <w:r>
        <w:rPr>
          <w:rFonts w:ascii="source serif 4" w:hAnsi="source serif 4"/>
          <w:b/>
          <w:bCs/>
          <w:color w:val="000000"/>
          <w:sz w:val="24"/>
          <w:szCs w:val="24"/>
        </w:rPr>
        <w:br w:type="page"/>
      </w:r>
    </w:p>
    <w:p w14:paraId="09DBC78C" w14:textId="0905A748" w:rsidR="00935B9B" w:rsidRDefault="00935B9B">
      <w:pPr>
        <w:spacing w:before="315" w:after="105" w:line="360" w:lineRule="auto"/>
        <w:rPr>
          <w:kern w:val="2"/>
          <w:szCs w:val="21"/>
          <w14:ligatures w14:val="standardContextual"/>
        </w:rPr>
      </w:pPr>
      <w:r>
        <w:rPr>
          <w:rFonts w:ascii="source serif 4" w:hAnsi="source serif 4"/>
          <w:b/>
          <w:bCs/>
          <w:color w:val="000000"/>
          <w:sz w:val="24"/>
          <w:szCs w:val="24"/>
        </w:rPr>
        <w:lastRenderedPageBreak/>
        <w:t>2. What changed in 2026</w:t>
      </w:r>
    </w:p>
    <w:p w14:paraId="187B62D5" w14:textId="77777777" w:rsidR="008340D5" w:rsidRDefault="008340D5" w:rsidP="008340D5">
      <w:pPr>
        <w:pStyle w:val="ListParagraph"/>
        <w:numPr>
          <w:ilvl w:val="0"/>
          <w:numId w:val="22"/>
        </w:numPr>
        <w:rPr>
          <w:kern w:val="2"/>
          <w:szCs w:val="21"/>
          <w14:ligatures w14:val="standardContextual"/>
        </w:rPr>
      </w:pPr>
      <w:r>
        <w:rPr>
          <w:rFonts w:ascii="source serif 4" w:hAnsi="source serif 4"/>
          <w:color w:val="000000"/>
        </w:rPr>
        <w:t>Use the 2026 adjusted amounts: dependent deduction $500, elderly/disabled family deduction $550, passbook rate 0.40%, asset threshold $52,787, and net family asset limit $105,574.</w:t>
      </w:r>
    </w:p>
    <w:p w14:paraId="508B3D20" w14:textId="77777777" w:rsidR="008340D5" w:rsidRDefault="008340D5" w:rsidP="008340D5">
      <w:pPr>
        <w:pStyle w:val="ListParagraph"/>
        <w:numPr>
          <w:ilvl w:val="0"/>
          <w:numId w:val="22"/>
        </w:numPr>
      </w:pPr>
      <w:r>
        <w:rPr>
          <w:rFonts w:ascii="source serif 4" w:hAnsi="source serif 4"/>
          <w:color w:val="000000"/>
        </w:rPr>
        <w:t>Household composition changes generally require an interim reexamination, subject to limited written-policy exceptions.</w:t>
      </w:r>
    </w:p>
    <w:p w14:paraId="3A75F947" w14:textId="77777777" w:rsidR="005868A9" w:rsidRPr="005868A9" w:rsidRDefault="005868A9" w:rsidP="005868A9">
      <w:pPr>
        <w:pStyle w:val="ListParagraph"/>
        <w:numPr>
          <w:ilvl w:val="0"/>
          <w:numId w:val="22"/>
        </w:numPr>
      </w:pPr>
      <w:r>
        <w:rPr>
          <w:rFonts w:ascii="source serif 4" w:hAnsi="source serif 4"/>
          <w:color w:val="000000"/>
        </w:rPr>
        <w:t>For PHAs, core HOTMA rules are operational now; for Multifamily/PBRA, mandatory certification compliance begins 1/1/2027.</w:t>
      </w:r>
    </w:p>
    <w:bookmarkEnd w:id="4"/>
    <w:p w14:paraId="238018F6" w14:textId="77777777" w:rsidR="005868A9" w:rsidRDefault="005868A9" w:rsidP="005868A9">
      <w:pPr>
        <w:rPr>
          <w:rFonts w:ascii="source serif 4" w:eastAsia="source serif 4" w:hAnsi="source serif 4" w:cs="source serif 4"/>
          <w:b/>
          <w:color w:val="000000"/>
          <w:sz w:val="24"/>
        </w:rPr>
      </w:pPr>
    </w:p>
    <w:p w14:paraId="4878180C" w14:textId="456DE1E6" w:rsidR="00B52ABD" w:rsidRDefault="005868A9" w:rsidP="005868A9">
      <w:pPr>
        <w:rPr>
          <w:kern w:val="2"/>
          <w:szCs w:val="21"/>
          <w14:ligatures w14:val="standardContextual"/>
        </w:rPr>
      </w:pPr>
      <w:r>
        <w:rPr>
          <w:rFonts w:ascii="source serif 4" w:eastAsia="source serif 4" w:hAnsi="source serif 4" w:cs="source serif 4"/>
          <w:b/>
          <w:color w:val="000000"/>
          <w:sz w:val="24"/>
        </w:rPr>
        <w:t>3</w:t>
      </w:r>
      <w:r w:rsidR="00B52ABD">
        <w:rPr>
          <w:rFonts w:ascii="source serif 4" w:hAnsi="source serif 4"/>
          <w:b/>
          <w:bCs/>
          <w:color w:val="000000"/>
          <w:sz w:val="24"/>
          <w:szCs w:val="24"/>
        </w:rPr>
        <w:t>. Current 2026 HOTMA threshold amounts</w:t>
      </w:r>
    </w:p>
    <w:p w14:paraId="18D1CACD" w14:textId="77777777" w:rsidR="009E43E3" w:rsidRDefault="009E43E3">
      <w:pPr>
        <w:spacing w:after="210" w:line="360" w:lineRule="auto"/>
        <w:rPr>
          <w:kern w:val="2"/>
          <w:szCs w:val="21"/>
          <w14:ligatures w14:val="standardContextual"/>
        </w:rPr>
      </w:pPr>
      <w:r>
        <w:rPr>
          <w:rFonts w:ascii="source serif 4" w:hAnsi="source serif 4"/>
          <w:color w:val="000000"/>
        </w:rPr>
        <w:t>Use the following 2026 HUD inflation-adjusted amounts in current calculations and training materials where applicable.</w:t>
      </w:r>
    </w:p>
    <w:tbl>
      <w:tblPr>
        <w:tblStyle w:val="GridTable4-Accent1"/>
        <w:tblW w:w="5000" w:type="pct"/>
        <w:tblInd w:w="0" w:type="dxa"/>
        <w:tblLook w:val="04A0" w:firstRow="1" w:lastRow="0" w:firstColumn="1" w:lastColumn="0" w:noHBand="0" w:noVBand="1"/>
      </w:tblPr>
      <w:tblGrid>
        <w:gridCol w:w="2605"/>
        <w:gridCol w:w="1225"/>
        <w:gridCol w:w="5670"/>
      </w:tblGrid>
      <w:tr w:rsidR="00537C99" w14:paraId="401892D9" w14:textId="77777777">
        <w:tc>
          <w:tcPr>
            <w:tcW w:w="0" w:type="auto"/>
            <w:vAlign w:val="center"/>
            <w:hideMark/>
          </w:tcPr>
          <w:p w14:paraId="5449505A" w14:textId="77777777" w:rsidR="00537C99" w:rsidRDefault="00537C99">
            <w:pPr>
              <w:spacing w:line="360" w:lineRule="auto"/>
              <w:jc w:val="center"/>
              <w:rPr>
                <w:szCs w:val="21"/>
              </w:rPr>
            </w:pPr>
            <w:r>
              <w:rPr>
                <w:rFonts w:ascii="source sans 3" w:hAnsi="source sans 3"/>
                <w:b/>
                <w:bCs/>
                <w:color w:val="000000"/>
                <w:sz w:val="19"/>
                <w:szCs w:val="19"/>
              </w:rPr>
              <w:t>HOTMA item</w:t>
            </w:r>
          </w:p>
        </w:tc>
        <w:tc>
          <w:tcPr>
            <w:tcW w:w="0" w:type="auto"/>
            <w:vAlign w:val="center"/>
            <w:hideMark/>
          </w:tcPr>
          <w:p w14:paraId="1B9C69AF" w14:textId="77777777" w:rsidR="00537C99" w:rsidRDefault="00537C99">
            <w:pPr>
              <w:spacing w:line="360" w:lineRule="auto"/>
              <w:jc w:val="center"/>
            </w:pPr>
            <w:r>
              <w:rPr>
                <w:rFonts w:ascii="source sans 3" w:hAnsi="source sans 3"/>
                <w:b/>
                <w:bCs/>
                <w:color w:val="000000"/>
                <w:sz w:val="19"/>
                <w:szCs w:val="19"/>
              </w:rPr>
              <w:t>2026 amount</w:t>
            </w:r>
          </w:p>
        </w:tc>
        <w:tc>
          <w:tcPr>
            <w:tcW w:w="0" w:type="auto"/>
            <w:vAlign w:val="center"/>
            <w:hideMark/>
          </w:tcPr>
          <w:p w14:paraId="5A8F2202" w14:textId="77777777" w:rsidR="00537C99" w:rsidRDefault="00537C99">
            <w:pPr>
              <w:spacing w:line="360" w:lineRule="auto"/>
              <w:jc w:val="center"/>
            </w:pPr>
            <w:r>
              <w:rPr>
                <w:rFonts w:ascii="source sans 3" w:hAnsi="source sans 3"/>
                <w:b/>
                <w:bCs/>
                <w:color w:val="000000"/>
                <w:sz w:val="19"/>
                <w:szCs w:val="19"/>
              </w:rPr>
              <w:t>How to use it</w:t>
            </w:r>
          </w:p>
        </w:tc>
      </w:tr>
      <w:tr w:rsidR="00537C99" w14:paraId="13FCE21D" w14:textId="77777777">
        <w:tc>
          <w:tcPr>
            <w:tcW w:w="0" w:type="auto"/>
            <w:vAlign w:val="center"/>
            <w:hideMark/>
          </w:tcPr>
          <w:p w14:paraId="09C66CCC" w14:textId="77777777" w:rsidR="00537C99" w:rsidRDefault="00537C99">
            <w:pPr>
              <w:spacing w:line="360" w:lineRule="auto"/>
            </w:pPr>
            <w:r>
              <w:rPr>
                <w:rFonts w:ascii="source sans 3" w:hAnsi="source sans 3"/>
                <w:b/>
                <w:bCs/>
                <w:color w:val="000000"/>
                <w:sz w:val="18"/>
                <w:szCs w:val="18"/>
              </w:rPr>
              <w:t>Net family asset limit</w:t>
            </w:r>
          </w:p>
        </w:tc>
        <w:tc>
          <w:tcPr>
            <w:tcW w:w="0" w:type="auto"/>
            <w:vAlign w:val="center"/>
            <w:hideMark/>
          </w:tcPr>
          <w:p w14:paraId="1C48790C" w14:textId="77777777" w:rsidR="00537C99" w:rsidRDefault="00537C99">
            <w:pPr>
              <w:spacing w:line="360" w:lineRule="auto"/>
              <w:jc w:val="center"/>
            </w:pPr>
            <w:r>
              <w:rPr>
                <w:rFonts w:ascii="source sans 3" w:hAnsi="source sans 3"/>
                <w:b/>
                <w:bCs/>
                <w:color w:val="000000"/>
                <w:sz w:val="18"/>
                <w:szCs w:val="18"/>
              </w:rPr>
              <w:t>$105,574</w:t>
            </w:r>
          </w:p>
        </w:tc>
        <w:tc>
          <w:tcPr>
            <w:tcW w:w="0" w:type="auto"/>
            <w:vAlign w:val="center"/>
            <w:hideMark/>
          </w:tcPr>
          <w:p w14:paraId="235877E9" w14:textId="77777777" w:rsidR="00537C99" w:rsidRDefault="00537C99">
            <w:pPr>
              <w:spacing w:line="360" w:lineRule="auto"/>
            </w:pPr>
            <w:r>
              <w:rPr>
                <w:rFonts w:ascii="source sans 3" w:hAnsi="source sans 3"/>
                <w:color w:val="000000"/>
                <w:sz w:val="18"/>
                <w:szCs w:val="18"/>
              </w:rPr>
              <w:t>Use for HOTMA asset-limit eligibility and continued-assistance testing.</w:t>
            </w:r>
          </w:p>
        </w:tc>
      </w:tr>
      <w:tr w:rsidR="00537C99" w14:paraId="63E1FE49" w14:textId="77777777">
        <w:tc>
          <w:tcPr>
            <w:tcW w:w="0" w:type="auto"/>
            <w:vAlign w:val="center"/>
            <w:hideMark/>
          </w:tcPr>
          <w:p w14:paraId="677B3C6A" w14:textId="77777777" w:rsidR="00537C99" w:rsidRDefault="00537C99">
            <w:pPr>
              <w:spacing w:line="360" w:lineRule="auto"/>
            </w:pPr>
            <w:r>
              <w:rPr>
                <w:rFonts w:ascii="source sans 3" w:hAnsi="source sans 3"/>
                <w:b/>
                <w:bCs/>
                <w:color w:val="000000"/>
                <w:sz w:val="18"/>
                <w:szCs w:val="18"/>
              </w:rPr>
              <w:t>Asset threshold</w:t>
            </w:r>
          </w:p>
        </w:tc>
        <w:tc>
          <w:tcPr>
            <w:tcW w:w="0" w:type="auto"/>
            <w:vAlign w:val="center"/>
            <w:hideMark/>
          </w:tcPr>
          <w:p w14:paraId="7DC98C17" w14:textId="77777777" w:rsidR="00537C99" w:rsidRDefault="00537C99">
            <w:pPr>
              <w:spacing w:line="360" w:lineRule="auto"/>
              <w:jc w:val="center"/>
            </w:pPr>
            <w:r>
              <w:rPr>
                <w:rFonts w:ascii="source sans 3" w:hAnsi="source sans 3"/>
                <w:b/>
                <w:bCs/>
                <w:color w:val="000000"/>
                <w:sz w:val="18"/>
                <w:szCs w:val="18"/>
              </w:rPr>
              <w:t>$52,787</w:t>
            </w:r>
          </w:p>
        </w:tc>
        <w:tc>
          <w:tcPr>
            <w:tcW w:w="0" w:type="auto"/>
            <w:vAlign w:val="center"/>
            <w:hideMark/>
          </w:tcPr>
          <w:p w14:paraId="3810498A" w14:textId="77777777" w:rsidR="00537C99" w:rsidRDefault="00537C99">
            <w:pPr>
              <w:spacing w:line="360" w:lineRule="auto"/>
            </w:pPr>
            <w:r>
              <w:rPr>
                <w:rFonts w:ascii="source sans 3" w:hAnsi="source sans 3"/>
                <w:color w:val="000000"/>
                <w:sz w:val="18"/>
                <w:szCs w:val="18"/>
              </w:rPr>
              <w:t>Use for imputed asset income, non-necessary personal property, and asset self-certification where applicable.</w:t>
            </w:r>
          </w:p>
        </w:tc>
      </w:tr>
      <w:tr w:rsidR="00537C99" w14:paraId="7F971087" w14:textId="77777777">
        <w:tc>
          <w:tcPr>
            <w:tcW w:w="0" w:type="auto"/>
            <w:vAlign w:val="center"/>
            <w:hideMark/>
          </w:tcPr>
          <w:p w14:paraId="6FE51779" w14:textId="77777777" w:rsidR="00537C99" w:rsidRDefault="00537C99">
            <w:pPr>
              <w:spacing w:line="360" w:lineRule="auto"/>
            </w:pPr>
            <w:r>
              <w:rPr>
                <w:rFonts w:ascii="source sans 3" w:hAnsi="source sans 3"/>
                <w:b/>
                <w:bCs/>
                <w:color w:val="000000"/>
                <w:sz w:val="18"/>
                <w:szCs w:val="18"/>
              </w:rPr>
              <w:t>Passbook rate</w:t>
            </w:r>
          </w:p>
        </w:tc>
        <w:tc>
          <w:tcPr>
            <w:tcW w:w="0" w:type="auto"/>
            <w:vAlign w:val="center"/>
            <w:hideMark/>
          </w:tcPr>
          <w:p w14:paraId="42C27ECF" w14:textId="77777777" w:rsidR="00537C99" w:rsidRDefault="00537C99">
            <w:pPr>
              <w:spacing w:line="360" w:lineRule="auto"/>
              <w:jc w:val="center"/>
            </w:pPr>
            <w:r>
              <w:rPr>
                <w:rFonts w:ascii="source sans 3" w:hAnsi="source sans 3"/>
                <w:b/>
                <w:bCs/>
                <w:color w:val="000000"/>
                <w:sz w:val="18"/>
                <w:szCs w:val="18"/>
              </w:rPr>
              <w:t>0.40%</w:t>
            </w:r>
          </w:p>
        </w:tc>
        <w:tc>
          <w:tcPr>
            <w:tcW w:w="0" w:type="auto"/>
            <w:vAlign w:val="center"/>
            <w:hideMark/>
          </w:tcPr>
          <w:p w14:paraId="3A879CCC" w14:textId="77777777" w:rsidR="00537C99" w:rsidRDefault="00537C99">
            <w:pPr>
              <w:spacing w:line="360" w:lineRule="auto"/>
            </w:pPr>
            <w:r>
              <w:rPr>
                <w:rFonts w:ascii="source sans 3" w:hAnsi="source sans 3"/>
                <w:color w:val="000000"/>
                <w:sz w:val="18"/>
                <w:szCs w:val="18"/>
              </w:rPr>
              <w:t>Use when imputed asset income must be calculated.</w:t>
            </w:r>
          </w:p>
        </w:tc>
      </w:tr>
      <w:tr w:rsidR="00537C99" w14:paraId="3344C172" w14:textId="77777777">
        <w:tc>
          <w:tcPr>
            <w:tcW w:w="0" w:type="auto"/>
            <w:vAlign w:val="center"/>
            <w:hideMark/>
          </w:tcPr>
          <w:p w14:paraId="616203C0" w14:textId="77777777" w:rsidR="00537C99" w:rsidRDefault="00537C99">
            <w:pPr>
              <w:spacing w:line="360" w:lineRule="auto"/>
            </w:pPr>
            <w:r>
              <w:rPr>
                <w:rFonts w:ascii="source sans 3" w:hAnsi="source sans 3"/>
                <w:b/>
                <w:bCs/>
                <w:color w:val="000000"/>
                <w:sz w:val="18"/>
                <w:szCs w:val="18"/>
              </w:rPr>
              <w:t>Dependent deduction</w:t>
            </w:r>
          </w:p>
        </w:tc>
        <w:tc>
          <w:tcPr>
            <w:tcW w:w="0" w:type="auto"/>
            <w:vAlign w:val="center"/>
            <w:hideMark/>
          </w:tcPr>
          <w:p w14:paraId="0836CE92" w14:textId="77777777" w:rsidR="00537C99" w:rsidRDefault="00537C99">
            <w:pPr>
              <w:spacing w:line="360" w:lineRule="auto"/>
              <w:jc w:val="center"/>
            </w:pPr>
            <w:r>
              <w:rPr>
                <w:rFonts w:ascii="source sans 3" w:hAnsi="source sans 3"/>
                <w:b/>
                <w:bCs/>
                <w:color w:val="000000"/>
                <w:sz w:val="18"/>
                <w:szCs w:val="18"/>
              </w:rPr>
              <w:t>$500</w:t>
            </w:r>
          </w:p>
        </w:tc>
        <w:tc>
          <w:tcPr>
            <w:tcW w:w="0" w:type="auto"/>
            <w:vAlign w:val="center"/>
            <w:hideMark/>
          </w:tcPr>
          <w:p w14:paraId="29F4990A" w14:textId="77777777" w:rsidR="005868A9" w:rsidRDefault="005868A9">
            <w:pPr>
              <w:spacing w:line="360" w:lineRule="auto"/>
              <w:rPr>
                <w:szCs w:val="21"/>
              </w:rPr>
            </w:pPr>
            <w:r>
              <w:rPr>
                <w:rFonts w:ascii="source sans 3" w:hAnsi="source sans 3"/>
                <w:color w:val="000000"/>
                <w:sz w:val="18"/>
                <w:szCs w:val="18"/>
              </w:rPr>
              <w:t>Use the current HOTMA dependent deduction amount in applicable programs.</w:t>
            </w:r>
          </w:p>
          <w:p w14:paraId="399F6725" w14:textId="6B795D13" w:rsidR="00537C99" w:rsidRDefault="00537C99">
            <w:pPr>
              <w:spacing w:line="360" w:lineRule="auto"/>
            </w:pPr>
          </w:p>
        </w:tc>
      </w:tr>
      <w:tr w:rsidR="00537C99" w14:paraId="77EB9E49" w14:textId="77777777">
        <w:tc>
          <w:tcPr>
            <w:tcW w:w="0" w:type="auto"/>
            <w:vAlign w:val="center"/>
            <w:hideMark/>
          </w:tcPr>
          <w:p w14:paraId="6FBE056F" w14:textId="77777777" w:rsidR="00537C99" w:rsidRDefault="00537C99">
            <w:pPr>
              <w:spacing w:line="360" w:lineRule="auto"/>
            </w:pPr>
            <w:r>
              <w:rPr>
                <w:rFonts w:ascii="source sans 3" w:hAnsi="source sans 3"/>
                <w:b/>
                <w:bCs/>
                <w:color w:val="000000"/>
                <w:sz w:val="18"/>
                <w:szCs w:val="18"/>
              </w:rPr>
              <w:t>Elderly/disabled family deduction</w:t>
            </w:r>
          </w:p>
        </w:tc>
        <w:tc>
          <w:tcPr>
            <w:tcW w:w="0" w:type="auto"/>
            <w:vAlign w:val="center"/>
            <w:hideMark/>
          </w:tcPr>
          <w:p w14:paraId="67E3570D" w14:textId="77777777" w:rsidR="00537C99" w:rsidRDefault="00537C99">
            <w:pPr>
              <w:spacing w:line="360" w:lineRule="auto"/>
              <w:jc w:val="center"/>
            </w:pPr>
            <w:r>
              <w:rPr>
                <w:rFonts w:ascii="source sans 3" w:hAnsi="source sans 3"/>
                <w:b/>
                <w:bCs/>
                <w:color w:val="000000"/>
                <w:sz w:val="18"/>
                <w:szCs w:val="18"/>
              </w:rPr>
              <w:t>$550</w:t>
            </w:r>
          </w:p>
        </w:tc>
        <w:tc>
          <w:tcPr>
            <w:tcW w:w="0" w:type="auto"/>
            <w:vAlign w:val="center"/>
            <w:hideMark/>
          </w:tcPr>
          <w:p w14:paraId="06196285" w14:textId="77777777" w:rsidR="005868A9" w:rsidRDefault="005868A9">
            <w:pPr>
              <w:spacing w:line="360" w:lineRule="auto"/>
              <w:rPr>
                <w:szCs w:val="21"/>
              </w:rPr>
            </w:pPr>
            <w:r>
              <w:rPr>
                <w:rFonts w:ascii="source sans 3" w:hAnsi="source sans 3"/>
                <w:color w:val="000000"/>
                <w:sz w:val="18"/>
                <w:szCs w:val="18"/>
              </w:rPr>
              <w:t>Use the current HOTMA elderly/disabled family deduction amount in applicable programs.</w:t>
            </w:r>
          </w:p>
          <w:p w14:paraId="178F84F0" w14:textId="1AAD516C" w:rsidR="00537C99" w:rsidRDefault="00537C99">
            <w:pPr>
              <w:spacing w:line="360" w:lineRule="auto"/>
            </w:pPr>
          </w:p>
        </w:tc>
      </w:tr>
      <w:tr w:rsidR="00537C99" w14:paraId="3BE97288" w14:textId="77777777">
        <w:tc>
          <w:tcPr>
            <w:tcW w:w="0" w:type="auto"/>
            <w:vAlign w:val="center"/>
            <w:hideMark/>
          </w:tcPr>
          <w:p w14:paraId="25245214" w14:textId="77777777" w:rsidR="00537C99" w:rsidRDefault="00537C99">
            <w:pPr>
              <w:spacing w:line="360" w:lineRule="auto"/>
            </w:pPr>
            <w:r>
              <w:rPr>
                <w:rFonts w:ascii="source sans 3" w:hAnsi="source sans 3"/>
                <w:b/>
                <w:bCs/>
                <w:color w:val="000000"/>
                <w:sz w:val="18"/>
                <w:szCs w:val="18"/>
              </w:rPr>
              <w:t>Student earned-income exclusion cap</w:t>
            </w:r>
          </w:p>
        </w:tc>
        <w:tc>
          <w:tcPr>
            <w:tcW w:w="0" w:type="auto"/>
            <w:vAlign w:val="center"/>
            <w:hideMark/>
          </w:tcPr>
          <w:p w14:paraId="7D6D90F8" w14:textId="77777777" w:rsidR="00537C99" w:rsidRDefault="00537C99">
            <w:pPr>
              <w:spacing w:line="360" w:lineRule="auto"/>
              <w:jc w:val="center"/>
            </w:pPr>
            <w:r>
              <w:rPr>
                <w:rFonts w:ascii="source sans 3" w:hAnsi="source sans 3"/>
                <w:b/>
                <w:bCs/>
                <w:color w:val="000000"/>
                <w:sz w:val="18"/>
                <w:szCs w:val="18"/>
              </w:rPr>
              <w:t>$500</w:t>
            </w:r>
          </w:p>
        </w:tc>
        <w:tc>
          <w:tcPr>
            <w:tcW w:w="0" w:type="auto"/>
            <w:vAlign w:val="center"/>
            <w:hideMark/>
          </w:tcPr>
          <w:p w14:paraId="6F5F73C6" w14:textId="77777777" w:rsidR="00537C99" w:rsidRDefault="00537C99">
            <w:pPr>
              <w:spacing w:line="360" w:lineRule="auto"/>
            </w:pPr>
            <w:r>
              <w:rPr>
                <w:rFonts w:ascii="source sans 3" w:hAnsi="source sans 3"/>
                <w:color w:val="000000"/>
                <w:sz w:val="18"/>
                <w:szCs w:val="18"/>
              </w:rPr>
              <w:t>Apply to earned income of dependent full-time students as allowed by current HOTMA rules.</w:t>
            </w:r>
          </w:p>
        </w:tc>
      </w:tr>
    </w:tbl>
    <w:p w14:paraId="1E98D0AA" w14:textId="77777777" w:rsidR="004F5690" w:rsidRDefault="004F5690"/>
    <w:p w14:paraId="793D38E9" w14:textId="77777777" w:rsidR="00B52ABD" w:rsidRDefault="00B52ABD">
      <w:pPr>
        <w:spacing w:before="315" w:after="105" w:line="360" w:lineRule="auto"/>
        <w:rPr>
          <w:kern w:val="2"/>
          <w:szCs w:val="21"/>
          <w14:ligatures w14:val="standardContextual"/>
        </w:rPr>
      </w:pPr>
      <w:bookmarkStart w:id="5" w:name="general_income_framework"/>
      <w:r>
        <w:rPr>
          <w:rFonts w:ascii="source serif 4" w:hAnsi="source serif 4"/>
          <w:b/>
          <w:bCs/>
          <w:color w:val="000000"/>
          <w:sz w:val="24"/>
          <w:szCs w:val="24"/>
        </w:rPr>
        <w:t>4. Income rules currently in effect</w:t>
      </w:r>
    </w:p>
    <w:p w14:paraId="2E5AC85C" w14:textId="77777777" w:rsidR="004F5690" w:rsidRDefault="00000000">
      <w:pPr>
        <w:spacing w:before="315" w:after="105" w:line="360" w:lineRule="auto"/>
        <w:ind w:left="-30"/>
      </w:pPr>
      <w:r>
        <w:rPr>
          <w:rFonts w:ascii="source serif 4" w:eastAsia="source serif 4" w:hAnsi="source serif 4" w:cs="source serif 4"/>
          <w:b/>
          <w:color w:val="000000"/>
          <w:sz w:val="24"/>
        </w:rPr>
        <w:t>General income framework</w:t>
      </w:r>
      <w:bookmarkEnd w:id="5"/>
    </w:p>
    <w:p w14:paraId="0507FB03" w14:textId="77777777" w:rsidR="008340D5" w:rsidRDefault="008340D5">
      <w:pPr>
        <w:spacing w:after="210" w:line="360" w:lineRule="auto"/>
        <w:rPr>
          <w:kern w:val="2"/>
          <w:szCs w:val="21"/>
          <w14:ligatures w14:val="standardContextual"/>
        </w:rPr>
      </w:pPr>
      <w:bookmarkStart w:id="6" w:name="income_exclusions_and_clarificati_cd3a75"/>
      <w:r>
        <w:rPr>
          <w:rFonts w:ascii="source serif 4" w:hAnsi="source serif 4"/>
          <w:color w:val="000000"/>
        </w:rPr>
        <w:t>Annual income includes all amounts received by or on behalf of family members unless specifically excluded by regulation. Apply HOTMA definitions and exclusions in 24 CFR 5.609 and current HUD guidance.</w:t>
      </w:r>
    </w:p>
    <w:p w14:paraId="0B0D5934" w14:textId="77777777" w:rsidR="004F5690" w:rsidRDefault="00000000">
      <w:pPr>
        <w:spacing w:before="315" w:after="105" w:line="360" w:lineRule="auto"/>
        <w:ind w:left="-30"/>
      </w:pPr>
      <w:r>
        <w:rPr>
          <w:rFonts w:ascii="source serif 4" w:eastAsia="source serif 4" w:hAnsi="source serif 4" w:cs="source serif 4"/>
          <w:b/>
          <w:color w:val="000000"/>
          <w:sz w:val="24"/>
        </w:rPr>
        <w:t>Income exclusions and clarifications staff should already be using</w:t>
      </w:r>
      <w:bookmarkEnd w:id="6"/>
    </w:p>
    <w:p w14:paraId="7F941192" w14:textId="77777777" w:rsidR="008340D5" w:rsidRDefault="008340D5" w:rsidP="008340D5">
      <w:pPr>
        <w:pStyle w:val="ListParagraph"/>
        <w:numPr>
          <w:ilvl w:val="0"/>
          <w:numId w:val="19"/>
        </w:numPr>
        <w:rPr>
          <w:kern w:val="2"/>
          <w:szCs w:val="21"/>
          <w14:ligatures w14:val="standardContextual"/>
        </w:rPr>
      </w:pPr>
      <w:bookmarkStart w:id="7" w:name="bm_5_what_public_housing_has_impl_3a4afe"/>
      <w:r>
        <w:rPr>
          <w:rFonts w:ascii="source serif 4" w:hAnsi="source serif 4"/>
          <w:color w:val="000000"/>
        </w:rPr>
        <w:t>Common exclusions include certain foster care payments, some educational assistance, certain tax credits, FSS escrow earnings, and other items listed in 24 CFR 5.609.</w:t>
      </w:r>
    </w:p>
    <w:p w14:paraId="6E72FFB4" w14:textId="77777777" w:rsidR="008340D5" w:rsidRDefault="008340D5" w:rsidP="008340D5">
      <w:pPr>
        <w:pStyle w:val="ListParagraph"/>
        <w:numPr>
          <w:ilvl w:val="0"/>
          <w:numId w:val="19"/>
        </w:numPr>
      </w:pPr>
      <w:r>
        <w:rPr>
          <w:rFonts w:ascii="source serif 4" w:hAnsi="source serif 4"/>
          <w:color w:val="000000"/>
        </w:rPr>
        <w:t>For 2026, the dependent deduction is $500, the elderly/disabled family deduction is $550, and the student earned-income exclusion amount is $500.</w:t>
      </w:r>
    </w:p>
    <w:p w14:paraId="101C4DEC" w14:textId="77777777" w:rsidR="00537C99" w:rsidRDefault="00537C99">
      <w:pPr>
        <w:rPr>
          <w:rFonts w:ascii="source serif 4" w:hAnsi="source serif 4"/>
          <w:b/>
          <w:bCs/>
          <w:color w:val="000000"/>
          <w:sz w:val="24"/>
          <w:szCs w:val="24"/>
        </w:rPr>
      </w:pPr>
      <w:r>
        <w:rPr>
          <w:rFonts w:ascii="source serif 4" w:hAnsi="source serif 4"/>
          <w:b/>
          <w:bCs/>
          <w:color w:val="000000"/>
          <w:sz w:val="24"/>
          <w:szCs w:val="24"/>
        </w:rPr>
        <w:br w:type="page"/>
      </w:r>
    </w:p>
    <w:p w14:paraId="4E554A27" w14:textId="4F65D153" w:rsidR="00B52ABD" w:rsidRDefault="00B52ABD">
      <w:pPr>
        <w:spacing w:before="315" w:after="105" w:line="360" w:lineRule="auto"/>
        <w:rPr>
          <w:kern w:val="2"/>
          <w:szCs w:val="21"/>
          <w14:ligatures w14:val="standardContextual"/>
        </w:rPr>
      </w:pPr>
      <w:r>
        <w:rPr>
          <w:rFonts w:ascii="source serif 4" w:hAnsi="source serif 4"/>
          <w:b/>
          <w:bCs/>
          <w:color w:val="000000"/>
          <w:sz w:val="24"/>
          <w:szCs w:val="24"/>
        </w:rPr>
        <w:lastRenderedPageBreak/>
        <w:t>5. Interim reviews and processing in 2026</w:t>
      </w:r>
    </w:p>
    <w:p w14:paraId="58CB7201" w14:textId="77777777" w:rsidR="008340D5" w:rsidRDefault="008340D5">
      <w:pPr>
        <w:spacing w:after="210" w:line="360" w:lineRule="auto"/>
        <w:rPr>
          <w:kern w:val="2"/>
          <w:szCs w:val="21"/>
          <w14:ligatures w14:val="standardContextual"/>
        </w:rPr>
      </w:pPr>
      <w:r>
        <w:rPr>
          <w:rFonts w:ascii="source serif 4" w:hAnsi="source serif 4"/>
          <w:color w:val="000000"/>
        </w:rPr>
        <w:t>HOTMA interim reviews use threshold-based rules for income changes, with a default 10 percent adjusted-income threshold unless a lower threshold is set in policy. Household composition changes generally require an interim reexamination, subject to limited written-policy exceptions.</w:t>
      </w:r>
    </w:p>
    <w:p w14:paraId="0844EE8C" w14:textId="77777777" w:rsidR="005868A9" w:rsidRDefault="005868A9">
      <w:pPr>
        <w:spacing w:after="210" w:line="360" w:lineRule="auto"/>
        <w:rPr>
          <w:kern w:val="2"/>
          <w:szCs w:val="21"/>
          <w14:ligatures w14:val="standardContextual"/>
        </w:rPr>
      </w:pPr>
      <w:bookmarkStart w:id="8" w:name="bm_7_quick_reference_summary_for_854ee1"/>
      <w:bookmarkEnd w:id="7"/>
      <w:r>
        <w:rPr>
          <w:rFonts w:ascii="source serif 4" w:hAnsi="source serif 4"/>
          <w:color w:val="000000"/>
        </w:rPr>
        <w:t>Staff should document the reported change, the policy trigger, and the action taken for each interim review decision.</w:t>
      </w:r>
    </w:p>
    <w:p w14:paraId="50AA1640" w14:textId="77777777" w:rsidR="00B52ABD" w:rsidRDefault="00B52ABD">
      <w:pPr>
        <w:spacing w:before="315" w:after="105" w:line="360" w:lineRule="auto"/>
        <w:rPr>
          <w:kern w:val="2"/>
          <w:szCs w:val="21"/>
          <w14:ligatures w14:val="standardContextual"/>
        </w:rPr>
      </w:pPr>
      <w:r>
        <w:rPr>
          <w:rFonts w:ascii="source serif 4" w:hAnsi="source serif 4"/>
          <w:b/>
          <w:bCs/>
          <w:color w:val="000000"/>
          <w:sz w:val="24"/>
          <w:szCs w:val="24"/>
        </w:rPr>
        <w:t>6. When to process an interim reexamination</w:t>
      </w:r>
    </w:p>
    <w:p w14:paraId="70CC95E6" w14:textId="77777777" w:rsidR="00935B9B" w:rsidRDefault="00935B9B" w:rsidP="00935B9B">
      <w:pPr>
        <w:pStyle w:val="ListParagraph"/>
        <w:numPr>
          <w:ilvl w:val="0"/>
          <w:numId w:val="23"/>
        </w:numPr>
        <w:ind w:left="1440"/>
        <w:rPr>
          <w:kern w:val="2"/>
          <w:szCs w:val="21"/>
          <w14:ligatures w14:val="standardContextual"/>
        </w:rPr>
      </w:pPr>
      <w:r>
        <w:rPr>
          <w:rFonts w:ascii="source serif 4" w:hAnsi="source serif 4"/>
          <w:b/>
          <w:bCs/>
          <w:color w:val="000000"/>
        </w:rPr>
        <w:t>Process an interim reexamination when:</w:t>
      </w:r>
      <w:r>
        <w:rPr>
          <w:rFonts w:ascii="source serif 4" w:hAnsi="source serif 4"/>
          <w:color w:val="000000"/>
        </w:rPr>
        <w:t xml:space="preserve"> household composition changes, a policy-defined decrease in income is reported, or another written-policy trigger is met.</w:t>
      </w:r>
    </w:p>
    <w:p w14:paraId="739F9708" w14:textId="77777777" w:rsidR="00935B9B" w:rsidRDefault="00935B9B" w:rsidP="00935B9B">
      <w:pPr>
        <w:pStyle w:val="ListParagraph"/>
        <w:numPr>
          <w:ilvl w:val="0"/>
          <w:numId w:val="23"/>
        </w:numPr>
        <w:ind w:left="1440"/>
      </w:pPr>
      <w:r>
        <w:rPr>
          <w:rFonts w:ascii="source serif 4" w:hAnsi="source serif 4"/>
          <w:b/>
          <w:bCs/>
          <w:color w:val="000000"/>
        </w:rPr>
        <w:t>Do not process automatically just because:</w:t>
      </w:r>
      <w:r>
        <w:rPr>
          <w:rFonts w:ascii="source serif 4" w:hAnsi="source serif 4"/>
          <w:color w:val="000000"/>
        </w:rPr>
        <w:t xml:space="preserve"> earned income increases, unless required by the applicable HOTMA rule or written policy.</w:t>
      </w:r>
    </w:p>
    <w:p w14:paraId="4C71FF1F" w14:textId="77777777" w:rsidR="00935B9B" w:rsidRDefault="00935B9B" w:rsidP="00935B9B">
      <w:pPr>
        <w:pStyle w:val="ListParagraph"/>
        <w:numPr>
          <w:ilvl w:val="0"/>
          <w:numId w:val="23"/>
        </w:numPr>
        <w:ind w:left="1440"/>
      </w:pPr>
      <w:r>
        <w:rPr>
          <w:rFonts w:ascii="source serif 4" w:hAnsi="source serif 4"/>
          <w:b/>
          <w:bCs/>
          <w:color w:val="000000"/>
        </w:rPr>
        <w:t>Always document:</w:t>
      </w:r>
      <w:r>
        <w:rPr>
          <w:rFonts w:ascii="source serif 4" w:hAnsi="source serif 4"/>
          <w:color w:val="000000"/>
        </w:rPr>
        <w:t xml:space="preserve"> the reported change, the trigger, the policy basis, and the action taken.</w:t>
      </w:r>
    </w:p>
    <w:p w14:paraId="4C5533C9" w14:textId="77777777" w:rsidR="00935B9B" w:rsidRDefault="00935B9B" w:rsidP="00935B9B">
      <w:pPr>
        <w:pStyle w:val="ListParagraph"/>
        <w:numPr>
          <w:ilvl w:val="0"/>
          <w:numId w:val="23"/>
        </w:numPr>
        <w:ind w:left="1440"/>
      </w:pPr>
      <w:r>
        <w:rPr>
          <w:rFonts w:ascii="source serif 4" w:hAnsi="source serif 4"/>
          <w:b/>
          <w:bCs/>
          <w:color w:val="000000"/>
        </w:rPr>
        <w:t>Reminder:</w:t>
      </w:r>
      <w:r>
        <w:rPr>
          <w:rFonts w:ascii="source serif 4" w:hAnsi="source serif 4"/>
          <w:color w:val="000000"/>
        </w:rPr>
        <w:t xml:space="preserve"> apply current HUD guidance together with your agency or property’s written policy, Administrative Plan, ACOP, or Tenant Selection Plan, as applicable.</w:t>
      </w:r>
    </w:p>
    <w:bookmarkEnd w:id="8"/>
    <w:p w14:paraId="3A6918F3" w14:textId="77777777" w:rsidR="00B52ABD" w:rsidRDefault="00B52ABD">
      <w:pPr>
        <w:spacing w:before="315" w:after="105" w:line="360" w:lineRule="auto"/>
        <w:rPr>
          <w:kern w:val="2"/>
          <w:szCs w:val="21"/>
          <w14:ligatures w14:val="standardContextual"/>
        </w:rPr>
      </w:pPr>
      <w:r>
        <w:rPr>
          <w:rFonts w:ascii="source serif 4" w:hAnsi="source serif 4"/>
          <w:b/>
          <w:bCs/>
          <w:color w:val="000000"/>
          <w:sz w:val="24"/>
          <w:szCs w:val="24"/>
        </w:rPr>
        <w:t>7. Quick reference summary</w:t>
      </w:r>
    </w:p>
    <w:tbl>
      <w:tblPr>
        <w:tblStyle w:val="GridTable4-Accent1"/>
        <w:tblW w:w="5000" w:type="pct"/>
        <w:tblInd w:w="0" w:type="dxa"/>
        <w:tblLook w:val="04A0" w:firstRow="1" w:lastRow="0" w:firstColumn="1" w:lastColumn="0" w:noHBand="0" w:noVBand="1"/>
      </w:tblPr>
      <w:tblGrid>
        <w:gridCol w:w="1791"/>
        <w:gridCol w:w="3906"/>
        <w:gridCol w:w="3803"/>
      </w:tblGrid>
      <w:tr w:rsidR="00537C99" w14:paraId="428697E2" w14:textId="77777777">
        <w:tc>
          <w:tcPr>
            <w:tcW w:w="0" w:type="auto"/>
            <w:vAlign w:val="center"/>
            <w:hideMark/>
          </w:tcPr>
          <w:p w14:paraId="06F10957" w14:textId="77777777" w:rsidR="00537C99" w:rsidRDefault="00537C99">
            <w:pPr>
              <w:spacing w:line="360" w:lineRule="auto"/>
              <w:jc w:val="center"/>
              <w:rPr>
                <w:szCs w:val="21"/>
              </w:rPr>
            </w:pPr>
            <w:r>
              <w:rPr>
                <w:rFonts w:ascii="source sans 3" w:hAnsi="source sans 3"/>
                <w:b/>
                <w:bCs/>
                <w:color w:val="000000"/>
                <w:sz w:val="19"/>
                <w:szCs w:val="19"/>
              </w:rPr>
              <w:t>Topic</w:t>
            </w:r>
          </w:p>
        </w:tc>
        <w:tc>
          <w:tcPr>
            <w:tcW w:w="0" w:type="auto"/>
            <w:vAlign w:val="center"/>
            <w:hideMark/>
          </w:tcPr>
          <w:p w14:paraId="68000EBE" w14:textId="77777777" w:rsidR="00537C99" w:rsidRDefault="00537C99">
            <w:pPr>
              <w:spacing w:line="360" w:lineRule="auto"/>
              <w:jc w:val="center"/>
            </w:pPr>
            <w:r>
              <w:rPr>
                <w:rFonts w:ascii="source sans 3" w:hAnsi="source sans 3"/>
                <w:b/>
                <w:bCs/>
                <w:color w:val="000000"/>
                <w:sz w:val="19"/>
                <w:szCs w:val="19"/>
              </w:rPr>
              <w:t>Public Housing / PIH</w:t>
            </w:r>
          </w:p>
        </w:tc>
        <w:tc>
          <w:tcPr>
            <w:tcW w:w="0" w:type="auto"/>
            <w:vAlign w:val="center"/>
            <w:hideMark/>
          </w:tcPr>
          <w:p w14:paraId="65427B71" w14:textId="77777777" w:rsidR="00537C99" w:rsidRDefault="00537C99">
            <w:pPr>
              <w:spacing w:line="360" w:lineRule="auto"/>
              <w:jc w:val="center"/>
            </w:pPr>
            <w:r>
              <w:rPr>
                <w:rFonts w:ascii="source sans 3" w:hAnsi="source sans 3"/>
                <w:b/>
                <w:bCs/>
                <w:color w:val="000000"/>
                <w:sz w:val="19"/>
                <w:szCs w:val="19"/>
              </w:rPr>
              <w:t>Multifamily / PBRA</w:t>
            </w:r>
          </w:p>
        </w:tc>
      </w:tr>
      <w:tr w:rsidR="00537C99" w14:paraId="67202666" w14:textId="77777777">
        <w:tc>
          <w:tcPr>
            <w:tcW w:w="0" w:type="auto"/>
            <w:vAlign w:val="center"/>
            <w:hideMark/>
          </w:tcPr>
          <w:p w14:paraId="407DA047" w14:textId="77777777" w:rsidR="00537C99" w:rsidRDefault="00537C99">
            <w:pPr>
              <w:spacing w:line="360" w:lineRule="auto"/>
            </w:pPr>
            <w:r>
              <w:rPr>
                <w:rFonts w:ascii="source sans 3" w:hAnsi="source sans 3"/>
                <w:b/>
                <w:bCs/>
                <w:color w:val="000000"/>
                <w:sz w:val="18"/>
                <w:szCs w:val="18"/>
              </w:rPr>
              <w:t>Status in 2026</w:t>
            </w:r>
          </w:p>
        </w:tc>
        <w:tc>
          <w:tcPr>
            <w:tcW w:w="0" w:type="auto"/>
            <w:vAlign w:val="center"/>
            <w:hideMark/>
          </w:tcPr>
          <w:p w14:paraId="5781675F" w14:textId="77777777" w:rsidR="005868A9" w:rsidRDefault="005868A9">
            <w:pPr>
              <w:spacing w:line="360" w:lineRule="auto"/>
              <w:rPr>
                <w:szCs w:val="21"/>
              </w:rPr>
            </w:pPr>
            <w:r>
              <w:rPr>
                <w:rFonts w:ascii="source sans 3" w:hAnsi="source sans 3"/>
                <w:color w:val="000000"/>
                <w:sz w:val="18"/>
                <w:szCs w:val="18"/>
              </w:rPr>
              <w:t xml:space="preserve">Key HOTMA provisions are already in effect; MTW and FRS-only PHAs may follow different </w:t>
            </w:r>
            <w:proofErr w:type="gramStart"/>
            <w:r>
              <w:rPr>
                <w:rFonts w:ascii="source sans 3" w:hAnsi="source sans 3"/>
                <w:color w:val="000000"/>
                <w:sz w:val="18"/>
                <w:szCs w:val="18"/>
              </w:rPr>
              <w:t>timing</w:t>
            </w:r>
            <w:proofErr w:type="gramEnd"/>
            <w:r>
              <w:rPr>
                <w:rFonts w:ascii="source sans 3" w:hAnsi="source sans 3"/>
                <w:color w:val="000000"/>
                <w:sz w:val="18"/>
                <w:szCs w:val="18"/>
              </w:rPr>
              <w:t>.</w:t>
            </w:r>
          </w:p>
          <w:p w14:paraId="2E7AA234" w14:textId="3AE405B7" w:rsidR="00537C99" w:rsidRDefault="00537C99">
            <w:pPr>
              <w:spacing w:line="360" w:lineRule="auto"/>
            </w:pPr>
          </w:p>
        </w:tc>
        <w:tc>
          <w:tcPr>
            <w:tcW w:w="0" w:type="auto"/>
            <w:vAlign w:val="center"/>
            <w:hideMark/>
          </w:tcPr>
          <w:p w14:paraId="31AD79A3" w14:textId="77777777" w:rsidR="00537C99" w:rsidRDefault="00537C99">
            <w:pPr>
              <w:spacing w:line="360" w:lineRule="auto"/>
            </w:pPr>
            <w:r>
              <w:rPr>
                <w:rFonts w:ascii="source sans 3" w:hAnsi="source sans 3"/>
                <w:color w:val="000000"/>
                <w:sz w:val="18"/>
                <w:szCs w:val="18"/>
              </w:rPr>
              <w:t>Use 2026 for readiness; full certification compliance begins 1/1/2027.</w:t>
            </w:r>
          </w:p>
        </w:tc>
      </w:tr>
      <w:tr w:rsidR="00537C99" w14:paraId="26FBD67D" w14:textId="77777777">
        <w:tc>
          <w:tcPr>
            <w:tcW w:w="0" w:type="auto"/>
            <w:vAlign w:val="center"/>
            <w:hideMark/>
          </w:tcPr>
          <w:p w14:paraId="576DFC22" w14:textId="77777777" w:rsidR="00537C99" w:rsidRDefault="00537C99">
            <w:pPr>
              <w:spacing w:line="360" w:lineRule="auto"/>
            </w:pPr>
            <w:r>
              <w:rPr>
                <w:rFonts w:ascii="source sans 3" w:hAnsi="source sans 3"/>
                <w:b/>
                <w:bCs/>
                <w:color w:val="000000"/>
                <w:sz w:val="18"/>
                <w:szCs w:val="18"/>
              </w:rPr>
              <w:t>2026 amounts</w:t>
            </w:r>
          </w:p>
        </w:tc>
        <w:tc>
          <w:tcPr>
            <w:tcW w:w="0" w:type="auto"/>
            <w:vAlign w:val="center"/>
            <w:hideMark/>
          </w:tcPr>
          <w:p w14:paraId="316E7F77" w14:textId="77777777" w:rsidR="00537C99" w:rsidRDefault="00537C99">
            <w:pPr>
              <w:spacing w:line="360" w:lineRule="auto"/>
            </w:pPr>
            <w:r>
              <w:rPr>
                <w:rFonts w:ascii="source sans 3" w:hAnsi="source sans 3"/>
                <w:color w:val="000000"/>
                <w:sz w:val="18"/>
                <w:szCs w:val="18"/>
              </w:rPr>
              <w:t>Current amounts should be used where applicable.</w:t>
            </w:r>
          </w:p>
        </w:tc>
        <w:tc>
          <w:tcPr>
            <w:tcW w:w="0" w:type="auto"/>
            <w:vAlign w:val="center"/>
            <w:hideMark/>
          </w:tcPr>
          <w:p w14:paraId="771CCD45" w14:textId="77777777" w:rsidR="00537C99" w:rsidRDefault="00537C99">
            <w:pPr>
              <w:spacing w:line="360" w:lineRule="auto"/>
            </w:pPr>
            <w:r>
              <w:rPr>
                <w:rFonts w:ascii="source sans 3" w:hAnsi="source sans 3"/>
                <w:color w:val="000000"/>
                <w:sz w:val="18"/>
                <w:szCs w:val="18"/>
              </w:rPr>
              <w:t>Use current amounts for calculations where applicable.</w:t>
            </w:r>
          </w:p>
        </w:tc>
      </w:tr>
      <w:tr w:rsidR="00537C99" w14:paraId="14938E11" w14:textId="77777777">
        <w:tc>
          <w:tcPr>
            <w:tcW w:w="0" w:type="auto"/>
            <w:vAlign w:val="center"/>
            <w:hideMark/>
          </w:tcPr>
          <w:p w14:paraId="26604E28" w14:textId="77777777" w:rsidR="00537C99" w:rsidRDefault="00537C99">
            <w:pPr>
              <w:spacing w:line="360" w:lineRule="auto"/>
            </w:pPr>
            <w:r>
              <w:rPr>
                <w:rFonts w:ascii="source sans 3" w:hAnsi="source sans 3"/>
                <w:b/>
                <w:bCs/>
                <w:color w:val="000000"/>
                <w:sz w:val="18"/>
                <w:szCs w:val="18"/>
              </w:rPr>
              <w:t>Interim reexaminations</w:t>
            </w:r>
          </w:p>
        </w:tc>
        <w:tc>
          <w:tcPr>
            <w:tcW w:w="0" w:type="auto"/>
            <w:vAlign w:val="center"/>
            <w:hideMark/>
          </w:tcPr>
          <w:p w14:paraId="57A318B7" w14:textId="77777777" w:rsidR="00537C99" w:rsidRDefault="00537C99">
            <w:pPr>
              <w:spacing w:line="360" w:lineRule="auto"/>
            </w:pPr>
            <w:r>
              <w:rPr>
                <w:rFonts w:ascii="source sans 3" w:hAnsi="source sans 3"/>
                <w:color w:val="000000"/>
                <w:sz w:val="18"/>
                <w:szCs w:val="18"/>
              </w:rPr>
              <w:t>Current HOTMA rules apply, including 2026 guidance on household composition changes.</w:t>
            </w:r>
          </w:p>
        </w:tc>
        <w:tc>
          <w:tcPr>
            <w:tcW w:w="0" w:type="auto"/>
            <w:vAlign w:val="center"/>
            <w:hideMark/>
          </w:tcPr>
          <w:p w14:paraId="26F80990" w14:textId="77777777" w:rsidR="00537C99" w:rsidRDefault="00537C99">
            <w:pPr>
              <w:spacing w:line="360" w:lineRule="auto"/>
            </w:pPr>
            <w:r>
              <w:rPr>
                <w:rFonts w:ascii="source sans 3" w:hAnsi="source sans 3"/>
                <w:color w:val="000000"/>
                <w:sz w:val="18"/>
                <w:szCs w:val="18"/>
              </w:rPr>
              <w:t>Follow current interim guidance; broader mandatory use aligns with 2027 compliance timing.</w:t>
            </w:r>
          </w:p>
        </w:tc>
      </w:tr>
      <w:tr w:rsidR="00537C99" w14:paraId="3C5F9507" w14:textId="77777777" w:rsidTr="00537C99">
        <w:tc>
          <w:tcPr>
            <w:tcW w:w="0" w:type="auto"/>
            <w:tcBorders>
              <w:top w:val="nil"/>
              <w:left w:val="single" w:sz="8" w:space="0" w:color="45B0E1"/>
              <w:bottom w:val="single" w:sz="8" w:space="0" w:color="45B0E1"/>
              <w:right w:val="single" w:sz="8" w:space="0" w:color="45B0E1"/>
            </w:tcBorders>
            <w:shd w:val="clear" w:color="auto" w:fill="FFF2CC"/>
            <w:vAlign w:val="center"/>
            <w:hideMark/>
          </w:tcPr>
          <w:p w14:paraId="27A23AF7" w14:textId="77777777" w:rsidR="00537C99" w:rsidRDefault="00537C99">
            <w:pPr>
              <w:spacing w:line="360" w:lineRule="auto"/>
              <w:rPr>
                <w:szCs w:val="21"/>
              </w:rPr>
            </w:pPr>
            <w:r>
              <w:rPr>
                <w:rFonts w:ascii="source sans 3" w:hAnsi="source sans 3"/>
                <w:b/>
                <w:bCs/>
                <w:color w:val="000000"/>
                <w:sz w:val="18"/>
                <w:szCs w:val="18"/>
              </w:rPr>
              <w:t>Next key deadline</w:t>
            </w:r>
          </w:p>
        </w:tc>
        <w:tc>
          <w:tcPr>
            <w:tcW w:w="0" w:type="auto"/>
            <w:tcBorders>
              <w:top w:val="nil"/>
              <w:left w:val="nil"/>
              <w:bottom w:val="single" w:sz="8" w:space="0" w:color="45B0E1"/>
              <w:right w:val="single" w:sz="8" w:space="0" w:color="45B0E1"/>
            </w:tcBorders>
            <w:shd w:val="clear" w:color="auto" w:fill="FFF2CC"/>
            <w:vAlign w:val="center"/>
            <w:hideMark/>
          </w:tcPr>
          <w:p w14:paraId="15BCCE14" w14:textId="77777777" w:rsidR="00537C99" w:rsidRPr="00B84F92" w:rsidRDefault="00537C99">
            <w:pPr>
              <w:spacing w:line="360" w:lineRule="auto"/>
              <w:jc w:val="center"/>
              <w:rPr>
                <w:highlight w:val="yellow"/>
              </w:rPr>
            </w:pPr>
            <w:r w:rsidRPr="00B84F92">
              <w:rPr>
                <w:rFonts w:ascii="source sans 3" w:hAnsi="source sans 3"/>
                <w:b/>
                <w:bCs/>
                <w:color w:val="000000"/>
                <w:sz w:val="18"/>
                <w:szCs w:val="18"/>
                <w:highlight w:val="yellow"/>
              </w:rPr>
              <w:t>1/1/2027</w:t>
            </w:r>
          </w:p>
          <w:p w14:paraId="4DDE56AE" w14:textId="77777777" w:rsidR="005868A9" w:rsidRPr="00B84F92" w:rsidRDefault="005868A9">
            <w:pPr>
              <w:spacing w:line="360" w:lineRule="auto"/>
              <w:rPr>
                <w:szCs w:val="21"/>
                <w:highlight w:val="yellow"/>
              </w:rPr>
            </w:pPr>
            <w:r w:rsidRPr="00B84F92">
              <w:rPr>
                <w:rFonts w:ascii="source sans 3" w:hAnsi="source sans 3"/>
                <w:color w:val="000000"/>
                <w:sz w:val="18"/>
                <w:szCs w:val="18"/>
                <w:highlight w:val="yellow"/>
              </w:rPr>
              <w:t>1/1/2027 – remaining covered provisions.</w:t>
            </w:r>
          </w:p>
          <w:p w14:paraId="073A9F86" w14:textId="2CBF9C5D" w:rsidR="00537C99" w:rsidRPr="00B84F92" w:rsidRDefault="00537C99">
            <w:pPr>
              <w:spacing w:line="360" w:lineRule="auto"/>
              <w:rPr>
                <w:highlight w:val="yellow"/>
              </w:rPr>
            </w:pPr>
          </w:p>
        </w:tc>
        <w:tc>
          <w:tcPr>
            <w:tcW w:w="0" w:type="auto"/>
            <w:tcBorders>
              <w:top w:val="nil"/>
              <w:left w:val="nil"/>
              <w:bottom w:val="single" w:sz="8" w:space="0" w:color="45B0E1"/>
              <w:right w:val="single" w:sz="8" w:space="0" w:color="45B0E1"/>
            </w:tcBorders>
            <w:shd w:val="clear" w:color="auto" w:fill="FFF2CC"/>
            <w:vAlign w:val="center"/>
            <w:hideMark/>
          </w:tcPr>
          <w:p w14:paraId="6F068B61" w14:textId="77777777" w:rsidR="00537C99" w:rsidRPr="00B84F92" w:rsidRDefault="00537C99">
            <w:pPr>
              <w:spacing w:line="360" w:lineRule="auto"/>
              <w:jc w:val="center"/>
              <w:rPr>
                <w:highlight w:val="yellow"/>
              </w:rPr>
            </w:pPr>
            <w:r w:rsidRPr="00B84F92">
              <w:rPr>
                <w:rFonts w:ascii="source sans 3" w:hAnsi="source sans 3"/>
                <w:b/>
                <w:bCs/>
                <w:color w:val="000000"/>
                <w:sz w:val="18"/>
                <w:szCs w:val="18"/>
                <w:highlight w:val="yellow"/>
              </w:rPr>
              <w:t>1/1/2027</w:t>
            </w:r>
          </w:p>
          <w:p w14:paraId="42E5832F" w14:textId="77777777" w:rsidR="005868A9" w:rsidRPr="00B84F92" w:rsidRDefault="005868A9">
            <w:pPr>
              <w:spacing w:line="360" w:lineRule="auto"/>
              <w:rPr>
                <w:szCs w:val="21"/>
                <w:highlight w:val="yellow"/>
              </w:rPr>
            </w:pPr>
            <w:r w:rsidRPr="00B84F92">
              <w:rPr>
                <w:rFonts w:ascii="source sans 3" w:hAnsi="source sans 3"/>
                <w:color w:val="000000"/>
                <w:sz w:val="18"/>
                <w:szCs w:val="18"/>
                <w:highlight w:val="yellow"/>
              </w:rPr>
              <w:t>1/1/2027 – certifications effective on or after that date.</w:t>
            </w:r>
          </w:p>
          <w:p w14:paraId="691DEED0" w14:textId="510834FC" w:rsidR="00537C99" w:rsidRPr="00B84F92" w:rsidRDefault="00537C99">
            <w:pPr>
              <w:spacing w:line="360" w:lineRule="auto"/>
              <w:rPr>
                <w:highlight w:val="yellow"/>
              </w:rPr>
            </w:pPr>
          </w:p>
        </w:tc>
      </w:tr>
    </w:tbl>
    <w:p w14:paraId="1F5EBFBE" w14:textId="77777777" w:rsidR="004F5690" w:rsidRDefault="004F5690"/>
    <w:p w14:paraId="1E7E80B0" w14:textId="77777777" w:rsidR="00B52ABD" w:rsidRDefault="00B52ABD">
      <w:pPr>
        <w:spacing w:before="315" w:after="105" w:line="360" w:lineRule="auto"/>
        <w:rPr>
          <w:kern w:val="2"/>
          <w:szCs w:val="21"/>
          <w14:ligatures w14:val="standardContextual"/>
        </w:rPr>
      </w:pPr>
      <w:bookmarkStart w:id="9" w:name="bm_8_key_2026_reminders_for_staff_7262c2"/>
      <w:r>
        <w:rPr>
          <w:rFonts w:ascii="source serif 4" w:hAnsi="source serif 4"/>
          <w:b/>
          <w:bCs/>
          <w:color w:val="000000"/>
          <w:sz w:val="24"/>
          <w:szCs w:val="24"/>
        </w:rPr>
        <w:t>8. Common mistakes to avoid</w:t>
      </w:r>
    </w:p>
    <w:p w14:paraId="13243FD1" w14:textId="77777777" w:rsidR="00935B9B" w:rsidRDefault="00935B9B" w:rsidP="00935B9B">
      <w:pPr>
        <w:pStyle w:val="ListParagraph"/>
        <w:numPr>
          <w:ilvl w:val="0"/>
          <w:numId w:val="24"/>
        </w:numPr>
        <w:ind w:left="1440"/>
        <w:rPr>
          <w:kern w:val="2"/>
          <w:szCs w:val="21"/>
          <w14:ligatures w14:val="standardContextual"/>
        </w:rPr>
      </w:pPr>
      <w:r>
        <w:rPr>
          <w:rFonts w:ascii="source serif 4" w:hAnsi="source serif 4"/>
          <w:color w:val="000000"/>
        </w:rPr>
        <w:t>Using pre-HOTMA deduction or exclusion amounts instead of the 2026 adjusted figures.</w:t>
      </w:r>
    </w:p>
    <w:p w14:paraId="70B0F85C" w14:textId="77777777" w:rsidR="00935B9B" w:rsidRDefault="00935B9B" w:rsidP="00935B9B">
      <w:pPr>
        <w:pStyle w:val="ListParagraph"/>
        <w:numPr>
          <w:ilvl w:val="0"/>
          <w:numId w:val="24"/>
        </w:numPr>
        <w:ind w:left="1440"/>
      </w:pPr>
      <w:r>
        <w:rPr>
          <w:rFonts w:ascii="source serif 4" w:hAnsi="source serif 4"/>
          <w:color w:val="000000"/>
        </w:rPr>
        <w:t>Referring to the elderly/disabled family deduction as a separate “disability deduction” instead of using the formal HUD term.</w:t>
      </w:r>
    </w:p>
    <w:p w14:paraId="5034CD8B" w14:textId="77777777" w:rsidR="00935B9B" w:rsidRDefault="00935B9B" w:rsidP="00935B9B">
      <w:pPr>
        <w:pStyle w:val="ListParagraph"/>
        <w:numPr>
          <w:ilvl w:val="0"/>
          <w:numId w:val="24"/>
        </w:numPr>
        <w:ind w:left="1440"/>
      </w:pPr>
      <w:r>
        <w:rPr>
          <w:rFonts w:ascii="source serif 4" w:hAnsi="source serif 4"/>
          <w:color w:val="000000"/>
        </w:rPr>
        <w:t xml:space="preserve">Forgetting that </w:t>
      </w:r>
      <w:proofErr w:type="gramStart"/>
      <w:r>
        <w:rPr>
          <w:rFonts w:ascii="source serif 4" w:hAnsi="source serif 4"/>
          <w:color w:val="000000"/>
        </w:rPr>
        <w:t>household composition</w:t>
      </w:r>
      <w:proofErr w:type="gramEnd"/>
      <w:r>
        <w:rPr>
          <w:rFonts w:ascii="source serif 4" w:hAnsi="source serif 4"/>
          <w:color w:val="000000"/>
        </w:rPr>
        <w:t xml:space="preserve"> changes generally trigger an interim reexamination.</w:t>
      </w:r>
    </w:p>
    <w:p w14:paraId="14BE2B89" w14:textId="77777777" w:rsidR="00935B9B" w:rsidRDefault="00935B9B" w:rsidP="00935B9B">
      <w:pPr>
        <w:pStyle w:val="ListParagraph"/>
        <w:numPr>
          <w:ilvl w:val="0"/>
          <w:numId w:val="24"/>
        </w:numPr>
        <w:ind w:left="1440"/>
      </w:pPr>
      <w:r>
        <w:rPr>
          <w:rFonts w:ascii="source serif 4" w:hAnsi="source serif 4"/>
          <w:color w:val="000000"/>
        </w:rPr>
        <w:t xml:space="preserve">Assuming </w:t>
      </w:r>
      <w:proofErr w:type="gramStart"/>
      <w:r>
        <w:rPr>
          <w:rFonts w:ascii="source serif 4" w:hAnsi="source serif 4"/>
          <w:color w:val="000000"/>
        </w:rPr>
        <w:t>Public Housing</w:t>
      </w:r>
      <w:proofErr w:type="gramEnd"/>
      <w:r>
        <w:rPr>
          <w:rFonts w:ascii="source serif 4" w:hAnsi="source serif 4"/>
          <w:color w:val="000000"/>
        </w:rPr>
        <w:t xml:space="preserve"> HOTMA implementation is still entirely future-dated.</w:t>
      </w:r>
    </w:p>
    <w:p w14:paraId="5E98D8AC" w14:textId="77777777" w:rsidR="00935B9B" w:rsidRDefault="00935B9B" w:rsidP="00935B9B">
      <w:pPr>
        <w:pStyle w:val="ListParagraph"/>
        <w:numPr>
          <w:ilvl w:val="0"/>
          <w:numId w:val="24"/>
        </w:numPr>
        <w:ind w:left="1440"/>
      </w:pPr>
      <w:r>
        <w:rPr>
          <w:rFonts w:ascii="source serif 4" w:hAnsi="source serif 4"/>
          <w:color w:val="000000"/>
        </w:rPr>
        <w:t>Confusing Public Housing and Multifamily/PBRA compliance timelines.</w:t>
      </w:r>
    </w:p>
    <w:bookmarkEnd w:id="9"/>
    <w:p w14:paraId="6A739FEF" w14:textId="77777777" w:rsidR="00B52ABD" w:rsidRDefault="00B52ABD">
      <w:pPr>
        <w:spacing w:before="315" w:after="105" w:line="360" w:lineRule="auto"/>
        <w:rPr>
          <w:kern w:val="2"/>
          <w:szCs w:val="21"/>
          <w14:ligatures w14:val="standardContextual"/>
        </w:rPr>
      </w:pPr>
      <w:r>
        <w:rPr>
          <w:rFonts w:ascii="source serif 4" w:hAnsi="source serif 4"/>
          <w:b/>
          <w:bCs/>
          <w:color w:val="000000"/>
          <w:sz w:val="24"/>
          <w:szCs w:val="24"/>
        </w:rPr>
        <w:lastRenderedPageBreak/>
        <w:t>9. Key 2026 reminders for staff and managers</w:t>
      </w:r>
    </w:p>
    <w:p w14:paraId="3CB796E4" w14:textId="77777777" w:rsidR="008340D5" w:rsidRDefault="008340D5" w:rsidP="008340D5">
      <w:pPr>
        <w:pStyle w:val="ListParagraph"/>
        <w:numPr>
          <w:ilvl w:val="0"/>
          <w:numId w:val="3"/>
        </w:numPr>
        <w:rPr>
          <w:kern w:val="2"/>
          <w:szCs w:val="21"/>
          <w14:ligatures w14:val="standardContextual"/>
        </w:rPr>
      </w:pPr>
      <w:r>
        <w:rPr>
          <w:rFonts w:ascii="source serif 4" w:hAnsi="source serif 4"/>
          <w:color w:val="000000"/>
        </w:rPr>
        <w:t>Use the 2026 amounts: dependent deduction $500, elderly/disabled family deduction $550, passbook rate 0.40%, asset threshold $52,787, and net family asset limit $105,574.</w:t>
      </w:r>
    </w:p>
    <w:p w14:paraId="6A247614" w14:textId="77777777" w:rsidR="008340D5" w:rsidRDefault="008340D5" w:rsidP="008340D5">
      <w:pPr>
        <w:pStyle w:val="ListParagraph"/>
        <w:numPr>
          <w:ilvl w:val="0"/>
          <w:numId w:val="3"/>
        </w:numPr>
      </w:pPr>
      <w:r>
        <w:rPr>
          <w:rFonts w:ascii="source serif 4" w:hAnsi="source serif 4"/>
          <w:color w:val="000000"/>
        </w:rPr>
        <w:t>For Public Housing, treat HOTMA as operational now and verify whether any MTW or FRS-only exception applies to your PHA.</w:t>
      </w:r>
    </w:p>
    <w:p w14:paraId="13D2C186" w14:textId="77777777" w:rsidR="008340D5" w:rsidRDefault="008340D5" w:rsidP="008340D5">
      <w:pPr>
        <w:pStyle w:val="ListParagraph"/>
        <w:numPr>
          <w:ilvl w:val="0"/>
          <w:numId w:val="3"/>
        </w:numPr>
      </w:pPr>
      <w:r>
        <w:rPr>
          <w:rFonts w:ascii="source serif 4" w:hAnsi="source serif 4"/>
          <w:color w:val="000000"/>
        </w:rPr>
        <w:t xml:space="preserve">For Multifamily, use 2026 to complete readiness for the January 1, </w:t>
      </w:r>
      <w:proofErr w:type="gramStart"/>
      <w:r>
        <w:rPr>
          <w:rFonts w:ascii="source serif 4" w:hAnsi="source serif 4"/>
          <w:color w:val="000000"/>
        </w:rPr>
        <w:t>2027</w:t>
      </w:r>
      <w:proofErr w:type="gramEnd"/>
      <w:r>
        <w:rPr>
          <w:rFonts w:ascii="source serif 4" w:hAnsi="source serif 4"/>
          <w:color w:val="000000"/>
        </w:rPr>
        <w:t xml:space="preserve"> certification deadline.</w:t>
      </w:r>
    </w:p>
    <w:p w14:paraId="5988EDB0" w14:textId="77777777" w:rsidR="00FC007D" w:rsidRDefault="00FC007D">
      <w:pPr>
        <w:spacing w:before="315" w:after="105" w:line="360" w:lineRule="auto"/>
        <w:rPr>
          <w:kern w:val="2"/>
          <w:szCs w:val="21"/>
          <w14:ligatures w14:val="standardContextual"/>
        </w:rPr>
      </w:pPr>
      <w:r>
        <w:rPr>
          <w:rFonts w:ascii="source serif 4" w:hAnsi="source serif 4"/>
          <w:b/>
          <w:bCs/>
          <w:color w:val="000000"/>
          <w:sz w:val="24"/>
          <w:szCs w:val="24"/>
        </w:rPr>
        <w:t>References</w:t>
      </w:r>
    </w:p>
    <w:p w14:paraId="3D124BE1" w14:textId="77777777" w:rsidR="005868A9" w:rsidRDefault="005868A9" w:rsidP="005868A9">
      <w:pPr>
        <w:pStyle w:val="ListParagraph"/>
        <w:numPr>
          <w:ilvl w:val="0"/>
          <w:numId w:val="18"/>
        </w:numPr>
        <w:rPr>
          <w:kern w:val="2"/>
          <w:szCs w:val="21"/>
          <w14:ligatures w14:val="standardContextual"/>
        </w:rPr>
      </w:pPr>
      <w:r>
        <w:rPr>
          <w:rFonts w:ascii="source serif 4" w:hAnsi="source serif 4"/>
          <w:color w:val="000000"/>
        </w:rPr>
        <w:t>HUD Notice PIH 2024-38</w:t>
      </w:r>
    </w:p>
    <w:p w14:paraId="09CBDAD7" w14:textId="77777777" w:rsidR="005868A9" w:rsidRDefault="005868A9" w:rsidP="005868A9">
      <w:pPr>
        <w:pStyle w:val="ListParagraph"/>
        <w:numPr>
          <w:ilvl w:val="0"/>
          <w:numId w:val="18"/>
        </w:numPr>
        <w:rPr>
          <w:kern w:val="2"/>
          <w:szCs w:val="21"/>
          <w14:ligatures w14:val="standardContextual"/>
        </w:rPr>
      </w:pPr>
      <w:r>
        <w:rPr>
          <w:rFonts w:ascii="source serif 4" w:hAnsi="source serif 4"/>
          <w:color w:val="000000"/>
        </w:rPr>
        <w:t>HUD Notice PIH 2026-15</w:t>
      </w:r>
    </w:p>
    <w:p w14:paraId="39F47B9B" w14:textId="77777777" w:rsidR="005868A9" w:rsidRDefault="005868A9" w:rsidP="005868A9">
      <w:pPr>
        <w:pStyle w:val="ListParagraph"/>
        <w:numPr>
          <w:ilvl w:val="0"/>
          <w:numId w:val="18"/>
        </w:numPr>
        <w:rPr>
          <w:kern w:val="2"/>
          <w:szCs w:val="21"/>
          <w14:ligatures w14:val="standardContextual"/>
        </w:rPr>
      </w:pPr>
      <w:r>
        <w:rPr>
          <w:rFonts w:ascii="source serif 4" w:hAnsi="source serif 4"/>
          <w:color w:val="000000"/>
        </w:rPr>
        <w:t>HUD Notice H 2025-07</w:t>
      </w:r>
    </w:p>
    <w:p w14:paraId="07B77471" w14:textId="77777777" w:rsidR="005868A9" w:rsidRDefault="005868A9" w:rsidP="005868A9">
      <w:pPr>
        <w:pStyle w:val="ListParagraph"/>
        <w:numPr>
          <w:ilvl w:val="0"/>
          <w:numId w:val="18"/>
        </w:numPr>
        <w:rPr>
          <w:kern w:val="2"/>
          <w:szCs w:val="21"/>
          <w14:ligatures w14:val="standardContextual"/>
        </w:rPr>
      </w:pPr>
      <w:r>
        <w:rPr>
          <w:rFonts w:ascii="source serif 4" w:hAnsi="source serif 4"/>
          <w:color w:val="000000"/>
        </w:rPr>
        <w:t>HUD Notice PIH 2026-09 / H 2026-05</w:t>
      </w:r>
    </w:p>
    <w:p w14:paraId="37CA6F78" w14:textId="77777777" w:rsidR="005868A9" w:rsidRDefault="005868A9" w:rsidP="005868A9">
      <w:pPr>
        <w:pStyle w:val="ListParagraph"/>
        <w:numPr>
          <w:ilvl w:val="0"/>
          <w:numId w:val="18"/>
        </w:numPr>
        <w:rPr>
          <w:kern w:val="2"/>
          <w:szCs w:val="21"/>
          <w14:ligatures w14:val="standardContextual"/>
        </w:rPr>
      </w:pPr>
      <w:r>
        <w:rPr>
          <w:rFonts w:ascii="source serif 4" w:hAnsi="source serif 4"/>
          <w:color w:val="000000"/>
        </w:rPr>
        <w:t>HUD HOTMA resources and 2026 inflation-adjusted amounts</w:t>
      </w:r>
    </w:p>
    <w:p w14:paraId="3F88FE92" w14:textId="77777777" w:rsidR="005868A9" w:rsidRDefault="005868A9" w:rsidP="005868A9">
      <w:pPr>
        <w:pStyle w:val="ListParagraph"/>
        <w:numPr>
          <w:ilvl w:val="0"/>
          <w:numId w:val="18"/>
        </w:numPr>
        <w:rPr>
          <w:kern w:val="2"/>
          <w:szCs w:val="21"/>
          <w14:ligatures w14:val="standardContextual"/>
        </w:rPr>
      </w:pPr>
      <w:r>
        <w:rPr>
          <w:rFonts w:ascii="source serif 4" w:hAnsi="source serif 4"/>
          <w:color w:val="000000"/>
        </w:rPr>
        <w:t>24 CFR 5.609</w:t>
      </w:r>
    </w:p>
    <w:p w14:paraId="4494379F" w14:textId="77777777" w:rsidR="00FC007D" w:rsidRDefault="00FC007D"/>
    <w:sectPr w:rsidR="00FC007D">
      <w:footerReference w:type="default" r:id="rId8"/>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9E8B" w14:textId="77777777" w:rsidR="00E85429" w:rsidRDefault="00E85429" w:rsidP="005868A9">
      <w:pPr>
        <w:spacing w:after="0" w:line="240" w:lineRule="auto"/>
      </w:pPr>
      <w:r>
        <w:separator/>
      </w:r>
    </w:p>
  </w:endnote>
  <w:endnote w:type="continuationSeparator" w:id="0">
    <w:p w14:paraId="7A081919" w14:textId="77777777" w:rsidR="00E85429" w:rsidRDefault="00E85429" w:rsidP="0058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ource serif 4">
    <w:altName w:val="Cambria"/>
    <w:panose1 w:val="00000000000000000000"/>
    <w:charset w:val="00"/>
    <w:family w:val="roman"/>
    <w:notTrueType/>
    <w:pitch w:val="default"/>
  </w:font>
  <w:font w:name="source sans 3">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964591"/>
      <w:docPartObj>
        <w:docPartGallery w:val="Page Numbers (Bottom of Page)"/>
        <w:docPartUnique/>
      </w:docPartObj>
    </w:sdtPr>
    <w:sdtContent>
      <w:sdt>
        <w:sdtPr>
          <w:id w:val="-1769616900"/>
          <w:docPartObj>
            <w:docPartGallery w:val="Page Numbers (Top of Page)"/>
            <w:docPartUnique/>
          </w:docPartObj>
        </w:sdtPr>
        <w:sdtContent>
          <w:p w14:paraId="70CBA4B3" w14:textId="0694A781" w:rsidR="005868A9" w:rsidRDefault="005868A9" w:rsidP="005868A9">
            <w:pPr>
              <w:pStyle w:val="Footer"/>
            </w:pPr>
            <w:r>
              <w:t>©</w:t>
            </w:r>
            <w:r>
              <w:t xml:space="preserve"> Virginia Viles Services, LLC </w:t>
            </w:r>
            <w:r w:rsidR="00C35F96">
              <w:tab/>
            </w:r>
            <w:r w:rsidR="00C35F96">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660825" w14:textId="7537BBB4" w:rsidR="005868A9" w:rsidRPr="005868A9" w:rsidRDefault="00C35F96" w:rsidP="005868A9">
    <w:pPr>
      <w:pStyle w:val="Footer"/>
      <w:jc w:val="center"/>
    </w:pPr>
    <w:r>
      <w:t>For more information, you can find the reference guide and other materials at VirginiaVilesServices.com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6CCB" w14:textId="77777777" w:rsidR="00E85429" w:rsidRDefault="00E85429" w:rsidP="005868A9">
      <w:pPr>
        <w:spacing w:after="0" w:line="240" w:lineRule="auto"/>
      </w:pPr>
      <w:r>
        <w:separator/>
      </w:r>
    </w:p>
  </w:footnote>
  <w:footnote w:type="continuationSeparator" w:id="0">
    <w:p w14:paraId="4D159407" w14:textId="77777777" w:rsidR="00E85429" w:rsidRDefault="00E85429" w:rsidP="00586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15"/>
    <w:multiLevelType w:val="multilevel"/>
    <w:tmpl w:val="52D0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C03"/>
    <w:multiLevelType w:val="multilevel"/>
    <w:tmpl w:val="E3FA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244DA"/>
    <w:multiLevelType w:val="multilevel"/>
    <w:tmpl w:val="4C3A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C63"/>
    <w:multiLevelType w:val="multilevel"/>
    <w:tmpl w:val="756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C6532"/>
    <w:multiLevelType w:val="multilevel"/>
    <w:tmpl w:val="E06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46082"/>
    <w:multiLevelType w:val="multilevel"/>
    <w:tmpl w:val="5E5C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403D8"/>
    <w:multiLevelType w:val="multilevel"/>
    <w:tmpl w:val="2DD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828B3"/>
    <w:multiLevelType w:val="multilevel"/>
    <w:tmpl w:val="1F7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962AC"/>
    <w:multiLevelType w:val="multilevel"/>
    <w:tmpl w:val="3DDA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26A79"/>
    <w:multiLevelType w:val="multilevel"/>
    <w:tmpl w:val="C696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D3519"/>
    <w:multiLevelType w:val="multilevel"/>
    <w:tmpl w:val="6ED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157E5"/>
    <w:multiLevelType w:val="multilevel"/>
    <w:tmpl w:val="6F3C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113E2"/>
    <w:multiLevelType w:val="multilevel"/>
    <w:tmpl w:val="ECB0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075B0"/>
    <w:multiLevelType w:val="multilevel"/>
    <w:tmpl w:val="7C98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072A6"/>
    <w:multiLevelType w:val="multilevel"/>
    <w:tmpl w:val="4AB6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D1123"/>
    <w:multiLevelType w:val="multilevel"/>
    <w:tmpl w:val="1D6E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D4FED"/>
    <w:multiLevelType w:val="multilevel"/>
    <w:tmpl w:val="E1E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30302"/>
    <w:multiLevelType w:val="multilevel"/>
    <w:tmpl w:val="056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454CB"/>
    <w:multiLevelType w:val="hybridMultilevel"/>
    <w:tmpl w:val="7A987EFA"/>
    <w:lvl w:ilvl="0" w:tplc="AC548226">
      <w:start w:val="1"/>
      <w:numFmt w:val="bullet"/>
      <w:lvlText w:val=""/>
      <w:lvlJc w:val="left"/>
      <w:pPr>
        <w:tabs>
          <w:tab w:val="num" w:pos="900"/>
        </w:tabs>
        <w:ind w:left="540" w:hanging="360"/>
      </w:pPr>
      <w:rPr>
        <w:rFonts w:ascii="Symbol" w:hAnsi="Symbol" w:hint="default"/>
      </w:rPr>
    </w:lvl>
    <w:lvl w:ilvl="1" w:tplc="87F07894">
      <w:numFmt w:val="decimal"/>
      <w:lvlText w:val=""/>
      <w:lvlJc w:val="left"/>
    </w:lvl>
    <w:lvl w:ilvl="2" w:tplc="4BDCC13E">
      <w:numFmt w:val="decimal"/>
      <w:lvlText w:val=""/>
      <w:lvlJc w:val="left"/>
    </w:lvl>
    <w:lvl w:ilvl="3" w:tplc="07489EF0">
      <w:numFmt w:val="decimal"/>
      <w:lvlText w:val=""/>
      <w:lvlJc w:val="left"/>
    </w:lvl>
    <w:lvl w:ilvl="4" w:tplc="C7CA4508">
      <w:numFmt w:val="decimal"/>
      <w:lvlText w:val=""/>
      <w:lvlJc w:val="left"/>
    </w:lvl>
    <w:lvl w:ilvl="5" w:tplc="AFE6B210">
      <w:numFmt w:val="decimal"/>
      <w:lvlText w:val=""/>
      <w:lvlJc w:val="left"/>
    </w:lvl>
    <w:lvl w:ilvl="6" w:tplc="BA98D76E">
      <w:numFmt w:val="decimal"/>
      <w:lvlText w:val=""/>
      <w:lvlJc w:val="left"/>
    </w:lvl>
    <w:lvl w:ilvl="7" w:tplc="3698C5AC">
      <w:numFmt w:val="decimal"/>
      <w:lvlText w:val=""/>
      <w:lvlJc w:val="left"/>
    </w:lvl>
    <w:lvl w:ilvl="8" w:tplc="CA362CA4">
      <w:numFmt w:val="decimal"/>
      <w:lvlText w:val=""/>
      <w:lvlJc w:val="left"/>
    </w:lvl>
  </w:abstractNum>
  <w:abstractNum w:abstractNumId="19" w15:restartNumberingAfterBreak="0">
    <w:nsid w:val="45CA0B65"/>
    <w:multiLevelType w:val="hybridMultilevel"/>
    <w:tmpl w:val="A42A4A20"/>
    <w:lvl w:ilvl="0" w:tplc="2BB88466">
      <w:start w:val="1"/>
      <w:numFmt w:val="bullet"/>
      <w:lvlText w:val=""/>
      <w:lvlJc w:val="left"/>
      <w:pPr>
        <w:tabs>
          <w:tab w:val="num" w:pos="900"/>
        </w:tabs>
        <w:ind w:left="540" w:hanging="360"/>
      </w:pPr>
      <w:rPr>
        <w:rFonts w:ascii="Symbol" w:hAnsi="Symbol" w:hint="default"/>
      </w:rPr>
    </w:lvl>
    <w:lvl w:ilvl="1" w:tplc="D6F2C190">
      <w:numFmt w:val="decimal"/>
      <w:lvlText w:val=""/>
      <w:lvlJc w:val="left"/>
    </w:lvl>
    <w:lvl w:ilvl="2" w:tplc="5AE8CA6A">
      <w:numFmt w:val="decimal"/>
      <w:lvlText w:val=""/>
      <w:lvlJc w:val="left"/>
    </w:lvl>
    <w:lvl w:ilvl="3" w:tplc="DE388EC6">
      <w:numFmt w:val="decimal"/>
      <w:lvlText w:val=""/>
      <w:lvlJc w:val="left"/>
    </w:lvl>
    <w:lvl w:ilvl="4" w:tplc="BDE0D722">
      <w:numFmt w:val="decimal"/>
      <w:lvlText w:val=""/>
      <w:lvlJc w:val="left"/>
    </w:lvl>
    <w:lvl w:ilvl="5" w:tplc="AEE88488">
      <w:numFmt w:val="decimal"/>
      <w:lvlText w:val=""/>
      <w:lvlJc w:val="left"/>
    </w:lvl>
    <w:lvl w:ilvl="6" w:tplc="F4BC907E">
      <w:numFmt w:val="decimal"/>
      <w:lvlText w:val=""/>
      <w:lvlJc w:val="left"/>
    </w:lvl>
    <w:lvl w:ilvl="7" w:tplc="B0C880F0">
      <w:numFmt w:val="decimal"/>
      <w:lvlText w:val=""/>
      <w:lvlJc w:val="left"/>
    </w:lvl>
    <w:lvl w:ilvl="8" w:tplc="F38CF0B8">
      <w:numFmt w:val="decimal"/>
      <w:lvlText w:val=""/>
      <w:lvlJc w:val="left"/>
    </w:lvl>
  </w:abstractNum>
  <w:abstractNum w:abstractNumId="20" w15:restartNumberingAfterBreak="0">
    <w:nsid w:val="46352C27"/>
    <w:multiLevelType w:val="multilevel"/>
    <w:tmpl w:val="3A1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85029"/>
    <w:multiLevelType w:val="multilevel"/>
    <w:tmpl w:val="025E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56BFF"/>
    <w:multiLevelType w:val="multilevel"/>
    <w:tmpl w:val="ED0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87B10"/>
    <w:multiLevelType w:val="multilevel"/>
    <w:tmpl w:val="DA7A0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39422C"/>
    <w:multiLevelType w:val="multilevel"/>
    <w:tmpl w:val="A3E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434A2"/>
    <w:multiLevelType w:val="multilevel"/>
    <w:tmpl w:val="B540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A31E3"/>
    <w:multiLevelType w:val="multilevel"/>
    <w:tmpl w:val="40B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A6B30"/>
    <w:multiLevelType w:val="hybridMultilevel"/>
    <w:tmpl w:val="C68213F2"/>
    <w:lvl w:ilvl="0" w:tplc="8B9E99EA">
      <w:start w:val="1"/>
      <w:numFmt w:val="bullet"/>
      <w:lvlText w:val=""/>
      <w:lvlJc w:val="left"/>
      <w:pPr>
        <w:tabs>
          <w:tab w:val="num" w:pos="900"/>
        </w:tabs>
        <w:ind w:left="540" w:hanging="360"/>
      </w:pPr>
      <w:rPr>
        <w:rFonts w:ascii="Symbol" w:hAnsi="Symbol" w:hint="default"/>
      </w:rPr>
    </w:lvl>
    <w:lvl w:ilvl="1" w:tplc="3378FEB8">
      <w:numFmt w:val="decimal"/>
      <w:lvlText w:val=""/>
      <w:lvlJc w:val="left"/>
    </w:lvl>
    <w:lvl w:ilvl="2" w:tplc="7534B8F4">
      <w:numFmt w:val="decimal"/>
      <w:lvlText w:val=""/>
      <w:lvlJc w:val="left"/>
    </w:lvl>
    <w:lvl w:ilvl="3" w:tplc="E7902FFA">
      <w:numFmt w:val="decimal"/>
      <w:lvlText w:val=""/>
      <w:lvlJc w:val="left"/>
    </w:lvl>
    <w:lvl w:ilvl="4" w:tplc="E49E0DA8">
      <w:numFmt w:val="decimal"/>
      <w:lvlText w:val=""/>
      <w:lvlJc w:val="left"/>
    </w:lvl>
    <w:lvl w:ilvl="5" w:tplc="63120EE0">
      <w:numFmt w:val="decimal"/>
      <w:lvlText w:val=""/>
      <w:lvlJc w:val="left"/>
    </w:lvl>
    <w:lvl w:ilvl="6" w:tplc="04D02140">
      <w:numFmt w:val="decimal"/>
      <w:lvlText w:val=""/>
      <w:lvlJc w:val="left"/>
    </w:lvl>
    <w:lvl w:ilvl="7" w:tplc="DF86C160">
      <w:numFmt w:val="decimal"/>
      <w:lvlText w:val=""/>
      <w:lvlJc w:val="left"/>
    </w:lvl>
    <w:lvl w:ilvl="8" w:tplc="0E96F040">
      <w:numFmt w:val="decimal"/>
      <w:lvlText w:val=""/>
      <w:lvlJc w:val="left"/>
    </w:lvl>
  </w:abstractNum>
  <w:abstractNum w:abstractNumId="28" w15:restartNumberingAfterBreak="0">
    <w:nsid w:val="595B3C1F"/>
    <w:multiLevelType w:val="multilevel"/>
    <w:tmpl w:val="3F14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56D88"/>
    <w:multiLevelType w:val="multilevel"/>
    <w:tmpl w:val="7898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C1D3A"/>
    <w:multiLevelType w:val="multilevel"/>
    <w:tmpl w:val="D3FE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02372"/>
    <w:multiLevelType w:val="multilevel"/>
    <w:tmpl w:val="289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9F1502"/>
    <w:multiLevelType w:val="multilevel"/>
    <w:tmpl w:val="572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F163AA"/>
    <w:multiLevelType w:val="multilevel"/>
    <w:tmpl w:val="66D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B1C47"/>
    <w:multiLevelType w:val="multilevel"/>
    <w:tmpl w:val="1236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064023">
    <w:abstractNumId w:val="19"/>
  </w:num>
  <w:num w:numId="2" w16cid:durableId="526021567">
    <w:abstractNumId w:val="27"/>
  </w:num>
  <w:num w:numId="3" w16cid:durableId="142507880">
    <w:abstractNumId w:val="18"/>
  </w:num>
  <w:num w:numId="4" w16cid:durableId="202517854">
    <w:abstractNumId w:val="12"/>
  </w:num>
  <w:num w:numId="5" w16cid:durableId="1891842396">
    <w:abstractNumId w:val="20"/>
  </w:num>
  <w:num w:numId="6" w16cid:durableId="155659039">
    <w:abstractNumId w:val="2"/>
  </w:num>
  <w:num w:numId="7" w16cid:durableId="1518495639">
    <w:abstractNumId w:val="34"/>
  </w:num>
  <w:num w:numId="8" w16cid:durableId="1339575315">
    <w:abstractNumId w:val="17"/>
  </w:num>
  <w:num w:numId="9" w16cid:durableId="564951007">
    <w:abstractNumId w:val="4"/>
  </w:num>
  <w:num w:numId="10" w16cid:durableId="846210575">
    <w:abstractNumId w:val="5"/>
  </w:num>
  <w:num w:numId="11" w16cid:durableId="2042630384">
    <w:abstractNumId w:val="28"/>
  </w:num>
  <w:num w:numId="12" w16cid:durableId="1519542891">
    <w:abstractNumId w:val="25"/>
  </w:num>
  <w:num w:numId="13" w16cid:durableId="2076976772">
    <w:abstractNumId w:val="8"/>
  </w:num>
  <w:num w:numId="14" w16cid:durableId="684484302">
    <w:abstractNumId w:val="16"/>
  </w:num>
  <w:num w:numId="15" w16cid:durableId="640421435">
    <w:abstractNumId w:val="32"/>
  </w:num>
  <w:num w:numId="16" w16cid:durableId="975717995">
    <w:abstractNumId w:val="0"/>
  </w:num>
  <w:num w:numId="17" w16cid:durableId="72631402">
    <w:abstractNumId w:val="1"/>
  </w:num>
  <w:num w:numId="18" w16cid:durableId="1008603160">
    <w:abstractNumId w:val="23"/>
  </w:num>
  <w:num w:numId="19" w16cid:durableId="406345073">
    <w:abstractNumId w:val="33"/>
  </w:num>
  <w:num w:numId="20" w16cid:durableId="822697775">
    <w:abstractNumId w:val="21"/>
  </w:num>
  <w:num w:numId="21" w16cid:durableId="1693534435">
    <w:abstractNumId w:val="13"/>
  </w:num>
  <w:num w:numId="22" w16cid:durableId="1513450264">
    <w:abstractNumId w:val="14"/>
  </w:num>
  <w:num w:numId="23" w16cid:durableId="384570490">
    <w:abstractNumId w:val="9"/>
  </w:num>
  <w:num w:numId="24" w16cid:durableId="1653023614">
    <w:abstractNumId w:val="24"/>
  </w:num>
  <w:num w:numId="25" w16cid:durableId="227501850">
    <w:abstractNumId w:val="11"/>
  </w:num>
  <w:num w:numId="26" w16cid:durableId="1820488433">
    <w:abstractNumId w:val="3"/>
  </w:num>
  <w:num w:numId="27" w16cid:durableId="921912116">
    <w:abstractNumId w:val="30"/>
  </w:num>
  <w:num w:numId="28" w16cid:durableId="793907185">
    <w:abstractNumId w:val="26"/>
  </w:num>
  <w:num w:numId="29" w16cid:durableId="59646222">
    <w:abstractNumId w:val="6"/>
  </w:num>
  <w:num w:numId="30" w16cid:durableId="292298281">
    <w:abstractNumId w:val="15"/>
  </w:num>
  <w:num w:numId="31" w16cid:durableId="1646397712">
    <w:abstractNumId w:val="10"/>
  </w:num>
  <w:num w:numId="32" w16cid:durableId="1476609511">
    <w:abstractNumId w:val="7"/>
  </w:num>
  <w:num w:numId="33" w16cid:durableId="1962615071">
    <w:abstractNumId w:val="29"/>
  </w:num>
  <w:num w:numId="34" w16cid:durableId="510026754">
    <w:abstractNumId w:val="22"/>
  </w:num>
  <w:num w:numId="35" w16cid:durableId="700851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90"/>
    <w:rsid w:val="004F5690"/>
    <w:rsid w:val="00537C99"/>
    <w:rsid w:val="005868A9"/>
    <w:rsid w:val="006C3C83"/>
    <w:rsid w:val="007B7E96"/>
    <w:rsid w:val="008340D5"/>
    <w:rsid w:val="00834194"/>
    <w:rsid w:val="00935B9B"/>
    <w:rsid w:val="009E43E3"/>
    <w:rsid w:val="00A93E23"/>
    <w:rsid w:val="00B52ABD"/>
    <w:rsid w:val="00B60B52"/>
    <w:rsid w:val="00B84F92"/>
    <w:rsid w:val="00C35F96"/>
    <w:rsid w:val="00E85429"/>
    <w:rsid w:val="00FC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231B"/>
  <w15:docId w15:val="{77377656-C129-4607-9527-AD2C3D4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FC007D"/>
    <w:pPr>
      <w:ind w:left="720"/>
      <w:contextualSpacing/>
    </w:pPr>
  </w:style>
  <w:style w:type="table" w:styleId="GridTable1Light">
    <w:name w:val="Grid Table 1 Light"/>
    <w:basedOn w:val="TableNormal"/>
    <w:uiPriority w:val="46"/>
    <w:rsid w:val="009E43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37C99"/>
    <w:pPr>
      <w:spacing w:after="0" w:line="240" w:lineRule="auto"/>
    </w:pPr>
    <w:rPr>
      <w:rFonts w:asciiTheme="minorHAnsi"/>
      <w:kern w:val="2"/>
      <w:sz w:val="24"/>
      <w:szCs w:val="24"/>
      <w14:ligatures w14:val="standardContextual"/>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Header">
    <w:name w:val="header"/>
    <w:basedOn w:val="Normal"/>
    <w:link w:val="HeaderChar"/>
    <w:uiPriority w:val="99"/>
    <w:unhideWhenUsed/>
    <w:rsid w:val="0058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A9"/>
  </w:style>
  <w:style w:type="paragraph" w:styleId="Footer">
    <w:name w:val="footer"/>
    <w:basedOn w:val="Normal"/>
    <w:link w:val="FooterChar"/>
    <w:uiPriority w:val="99"/>
    <w:unhideWhenUsed/>
    <w:rsid w:val="0058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A9"/>
  </w:style>
  <w:style w:type="character" w:styleId="Hyperlink">
    <w:name w:val="Hyperlink"/>
    <w:basedOn w:val="DefaultParagraphFont"/>
    <w:uiPriority w:val="99"/>
    <w:unhideWhenUsed/>
    <w:rsid w:val="005868A9"/>
    <w:rPr>
      <w:color w:val="467886" w:themeColor="hyperlink"/>
      <w:u w:val="single"/>
    </w:rPr>
  </w:style>
  <w:style w:type="character" w:styleId="UnresolvedMention">
    <w:name w:val="Unresolved Mention"/>
    <w:basedOn w:val="DefaultParagraphFont"/>
    <w:uiPriority w:val="99"/>
    <w:semiHidden/>
    <w:unhideWhenUsed/>
    <w:rsid w:val="00586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5747</Characters>
  <Application>Microsoft Office Word</Application>
  <DocSecurity>0</DocSecurity>
  <Lines>124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Lisa Viles</cp:lastModifiedBy>
  <cp:revision>3</cp:revision>
  <dcterms:created xsi:type="dcterms:W3CDTF">2026-06-04T20:22:00Z</dcterms:created>
  <dcterms:modified xsi:type="dcterms:W3CDTF">2026-06-04T20:22:00Z</dcterms:modified>
</cp:coreProperties>
</file>